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0103C" w14:textId="597402B3" w:rsidR="005B5786" w:rsidRPr="009A3DDF" w:rsidRDefault="00445052" w:rsidP="00450B76">
      <w:pPr>
        <w:pStyle w:val="Heading1"/>
        <w:spacing w:line="240" w:lineRule="auto"/>
        <w:rPr>
          <w:lang w:val="es-ES_tradnl"/>
        </w:rPr>
      </w:pPr>
      <w:bookmarkStart w:id="0" w:name="_Hlk536480962"/>
      <w:r w:rsidRPr="009A3DDF">
        <w:rPr>
          <w:lang w:val="es-ES_tradnl"/>
        </w:rPr>
        <w:t>Anuncio de la convocatoria para la presentación de propuestas</w:t>
      </w:r>
      <w:r w:rsidR="005B5786" w:rsidRPr="009A3DDF">
        <w:rPr>
          <w:lang w:val="es-ES_tradnl"/>
        </w:rPr>
        <w:t xml:space="preserve"> </w:t>
      </w:r>
    </w:p>
    <w:p w14:paraId="556B9906" w14:textId="77F3D0A5" w:rsidR="00FA638C" w:rsidRPr="009A3DDF" w:rsidRDefault="00445052" w:rsidP="00450B76">
      <w:pPr>
        <w:pStyle w:val="Heading1"/>
        <w:spacing w:line="240" w:lineRule="auto"/>
        <w:rPr>
          <w:rFonts w:asciiTheme="minorHAnsi" w:hAnsiTheme="minorHAnsi" w:cstheme="minorHAnsi"/>
          <w:sz w:val="36"/>
          <w:szCs w:val="36"/>
          <w:lang w:val="es-ES_tradnl" w:eastAsia="en-GB"/>
        </w:rPr>
      </w:pPr>
      <w:r w:rsidRPr="009A3DDF">
        <w:rPr>
          <w:rFonts w:asciiTheme="minorHAnsi" w:hAnsiTheme="minorHAnsi" w:cstheme="minorHAnsi"/>
          <w:sz w:val="36"/>
          <w:szCs w:val="36"/>
          <w:lang w:val="es-ES_tradnl" w:eastAsia="en-GB"/>
        </w:rPr>
        <w:t>Resumen</w:t>
      </w:r>
    </w:p>
    <w:p w14:paraId="21BFC696" w14:textId="20C702AF" w:rsidR="00445052" w:rsidRPr="009A3DDF" w:rsidRDefault="00445052" w:rsidP="00450B76">
      <w:pPr>
        <w:spacing w:after="0" w:line="240" w:lineRule="auto"/>
        <w:jc w:val="both"/>
        <w:rPr>
          <w:rFonts w:eastAsia="SimSun" w:cstheme="minorHAnsi"/>
          <w:sz w:val="24"/>
          <w:szCs w:val="24"/>
          <w:lang w:val="es-ES_tradnl"/>
        </w:rPr>
      </w:pPr>
      <w:r w:rsidRPr="009A3DDF">
        <w:rPr>
          <w:rFonts w:eastAsia="SimSun" w:cstheme="minorHAnsi"/>
          <w:sz w:val="24"/>
          <w:szCs w:val="24"/>
          <w:lang w:val="es-ES_tradnl"/>
        </w:rPr>
        <w:t xml:space="preserve">Unitaid se complace en anunciar una convocatoria para la presentación de propuestas en </w:t>
      </w:r>
      <w:r w:rsidR="00D421AD" w:rsidRPr="009A3DDF">
        <w:rPr>
          <w:rFonts w:eastAsia="SimSun" w:cstheme="minorHAnsi"/>
          <w:sz w:val="24"/>
          <w:szCs w:val="24"/>
          <w:lang w:val="es-ES_tradnl"/>
        </w:rPr>
        <w:t>la siguiente</w:t>
      </w:r>
      <w:r w:rsidRPr="009A3DDF">
        <w:rPr>
          <w:rFonts w:eastAsia="SimSun" w:cstheme="minorHAnsi"/>
          <w:sz w:val="24"/>
          <w:szCs w:val="24"/>
          <w:lang w:val="es-ES_tradnl"/>
        </w:rPr>
        <w:t xml:space="preserve"> área de intervención: </w:t>
      </w:r>
      <w:r w:rsidRPr="009A3DDF">
        <w:rPr>
          <w:rFonts w:eastAsia="SimSun" w:cstheme="minorHAnsi"/>
          <w:b/>
          <w:sz w:val="24"/>
          <w:szCs w:val="24"/>
          <w:lang w:val="es-ES_tradnl"/>
        </w:rPr>
        <w:t>Agilizar el impacto de las tecnologías de acción prolongada en los países de ingresos medios y bajos</w:t>
      </w:r>
      <w:r w:rsidRPr="009A3DDF">
        <w:rPr>
          <w:rFonts w:eastAsia="SimSun" w:cstheme="minorHAnsi"/>
          <w:sz w:val="24"/>
          <w:szCs w:val="24"/>
          <w:lang w:val="es-ES_tradnl"/>
        </w:rPr>
        <w:t>.</w:t>
      </w:r>
    </w:p>
    <w:p w14:paraId="5DA965A7" w14:textId="77777777" w:rsidR="001E46FC" w:rsidRPr="009A3DDF" w:rsidRDefault="001E46FC" w:rsidP="00450B76">
      <w:pPr>
        <w:spacing w:after="0" w:line="240" w:lineRule="auto"/>
        <w:jc w:val="both"/>
        <w:rPr>
          <w:rFonts w:eastAsia="SimSun" w:cstheme="minorHAnsi"/>
          <w:sz w:val="24"/>
          <w:szCs w:val="24"/>
          <w:lang w:val="es-ES_tradnl"/>
        </w:rPr>
      </w:pPr>
    </w:p>
    <w:p w14:paraId="553236DE" w14:textId="5516BC73" w:rsidR="00445052" w:rsidRPr="009A3DDF" w:rsidRDefault="00A149A3" w:rsidP="00450B76">
      <w:pPr>
        <w:spacing w:after="0" w:line="240" w:lineRule="auto"/>
        <w:jc w:val="both"/>
        <w:rPr>
          <w:rFonts w:eastAsia="SimSun" w:cstheme="minorHAnsi"/>
          <w:sz w:val="24"/>
          <w:szCs w:val="24"/>
          <w:lang w:val="es-ES_tradnl"/>
        </w:rPr>
      </w:pPr>
      <w:r>
        <w:rPr>
          <w:rFonts w:eastAsia="SimSun" w:cstheme="minorHAnsi"/>
          <w:sz w:val="24"/>
          <w:szCs w:val="24"/>
          <w:lang w:val="es-ES_tradnl"/>
        </w:rPr>
        <w:t xml:space="preserve">La </w:t>
      </w:r>
      <w:r w:rsidR="00445052" w:rsidRPr="009A3DDF">
        <w:rPr>
          <w:rFonts w:eastAsia="SimSun" w:cstheme="minorHAnsi"/>
          <w:sz w:val="24"/>
          <w:szCs w:val="24"/>
          <w:lang w:val="es-ES_tradnl"/>
        </w:rPr>
        <w:t xml:space="preserve">convocatoria </w:t>
      </w:r>
      <w:r>
        <w:rPr>
          <w:rFonts w:eastAsia="SimSun" w:cstheme="minorHAnsi"/>
          <w:sz w:val="24"/>
          <w:szCs w:val="24"/>
          <w:lang w:val="es-ES_tradnl"/>
        </w:rPr>
        <w:t>se propone</w:t>
      </w:r>
      <w:r w:rsidR="00445052" w:rsidRPr="009A3DDF">
        <w:rPr>
          <w:rFonts w:eastAsia="SimSun" w:cstheme="minorHAnsi"/>
          <w:sz w:val="24"/>
          <w:szCs w:val="24"/>
          <w:lang w:val="es-ES_tradnl"/>
        </w:rPr>
        <w:t xml:space="preserve"> </w:t>
      </w:r>
      <w:r w:rsidR="00445052" w:rsidRPr="009A3DDF">
        <w:rPr>
          <w:rFonts w:eastAsia="SimSun" w:cstheme="minorHAnsi"/>
          <w:b/>
          <w:sz w:val="24"/>
          <w:szCs w:val="24"/>
          <w:lang w:val="es-ES_tradnl"/>
        </w:rPr>
        <w:t xml:space="preserve">agilizar </w:t>
      </w:r>
      <w:r w:rsidR="00EB3659">
        <w:rPr>
          <w:rFonts w:eastAsia="SimSun" w:cstheme="minorHAnsi"/>
          <w:b/>
          <w:sz w:val="24"/>
          <w:szCs w:val="24"/>
          <w:lang w:val="es-ES_tradnl"/>
        </w:rPr>
        <w:t xml:space="preserve">la transformación de medicamentos existentes en productos de </w:t>
      </w:r>
      <w:r w:rsidR="00445052" w:rsidRPr="009A3DDF">
        <w:rPr>
          <w:rFonts w:eastAsia="SimSun" w:cstheme="minorHAnsi"/>
          <w:b/>
          <w:sz w:val="24"/>
          <w:szCs w:val="24"/>
          <w:lang w:val="es-ES_tradnl"/>
        </w:rPr>
        <w:t>acción prolongada</w:t>
      </w:r>
      <w:r w:rsidR="00EB3659">
        <w:rPr>
          <w:rFonts w:eastAsia="SimSun" w:cstheme="minorHAnsi"/>
          <w:b/>
          <w:sz w:val="24"/>
          <w:szCs w:val="24"/>
          <w:lang w:val="es-ES_tradnl"/>
        </w:rPr>
        <w:t xml:space="preserve">. </w:t>
      </w:r>
      <w:r>
        <w:rPr>
          <w:rFonts w:eastAsia="SimSun" w:cstheme="minorHAnsi"/>
          <w:sz w:val="24"/>
          <w:szCs w:val="24"/>
          <w:lang w:val="es-ES_tradnl"/>
        </w:rPr>
        <w:t xml:space="preserve">En concreto, medicamentos </w:t>
      </w:r>
      <w:r w:rsidR="00445052" w:rsidRPr="009A3DDF">
        <w:rPr>
          <w:rFonts w:eastAsia="SimSun" w:cstheme="minorHAnsi"/>
          <w:sz w:val="24"/>
          <w:szCs w:val="24"/>
          <w:lang w:val="es-ES_tradnl"/>
        </w:rPr>
        <w:t xml:space="preserve">para tratar y prevenir </w:t>
      </w:r>
      <w:r>
        <w:rPr>
          <w:rFonts w:eastAsia="SimSun" w:cstheme="minorHAnsi"/>
          <w:sz w:val="24"/>
          <w:szCs w:val="24"/>
          <w:lang w:val="es-ES_tradnl"/>
        </w:rPr>
        <w:t xml:space="preserve">la tuberculosis, la malaria y la infección por </w:t>
      </w:r>
      <w:r w:rsidR="00F5500E" w:rsidRPr="009A3DDF">
        <w:rPr>
          <w:rFonts w:eastAsia="SimSun" w:cstheme="minorHAnsi"/>
          <w:sz w:val="24"/>
          <w:szCs w:val="24"/>
          <w:lang w:val="es-ES_tradnl"/>
        </w:rPr>
        <w:t xml:space="preserve">VIH </w:t>
      </w:r>
      <w:r>
        <w:rPr>
          <w:rFonts w:eastAsia="SimSun" w:cstheme="minorHAnsi"/>
          <w:sz w:val="24"/>
          <w:szCs w:val="24"/>
          <w:lang w:val="es-ES_tradnl"/>
        </w:rPr>
        <w:t>junto con</w:t>
      </w:r>
      <w:r w:rsidR="00F5500E" w:rsidRPr="009A3DDF">
        <w:rPr>
          <w:rFonts w:eastAsia="SimSun" w:cstheme="minorHAnsi"/>
          <w:sz w:val="24"/>
          <w:szCs w:val="24"/>
          <w:lang w:val="es-ES_tradnl"/>
        </w:rPr>
        <w:t xml:space="preserve"> sus infecciones y enfermedades concomitantes</w:t>
      </w:r>
      <w:r>
        <w:rPr>
          <w:rFonts w:eastAsia="SimSun" w:cstheme="minorHAnsi"/>
          <w:sz w:val="24"/>
          <w:szCs w:val="24"/>
          <w:lang w:val="es-ES_tradnl"/>
        </w:rPr>
        <w:t>.</w:t>
      </w:r>
    </w:p>
    <w:p w14:paraId="0C74913D" w14:textId="77777777" w:rsidR="001E46FC" w:rsidRPr="009A3DDF" w:rsidRDefault="001E46FC" w:rsidP="00450B76">
      <w:pPr>
        <w:spacing w:after="0" w:line="240" w:lineRule="auto"/>
        <w:jc w:val="both"/>
        <w:rPr>
          <w:rFonts w:eastAsia="SimSun" w:cstheme="minorHAnsi"/>
          <w:sz w:val="24"/>
          <w:szCs w:val="24"/>
          <w:lang w:val="es-ES_tradnl"/>
        </w:rPr>
      </w:pPr>
    </w:p>
    <w:p w14:paraId="534D6D5C" w14:textId="7E7358EC" w:rsidR="00E7608A" w:rsidRPr="009A3DDF" w:rsidRDefault="00445052" w:rsidP="00450B76">
      <w:pPr>
        <w:spacing w:after="0" w:line="240" w:lineRule="auto"/>
        <w:jc w:val="both"/>
        <w:rPr>
          <w:rFonts w:cstheme="minorHAnsi"/>
          <w:sz w:val="24"/>
          <w:szCs w:val="24"/>
          <w:lang w:val="es-ES_tradnl"/>
        </w:rPr>
      </w:pPr>
      <w:r w:rsidRPr="009A3DDF">
        <w:rPr>
          <w:rFonts w:eastAsia="SimSun" w:cstheme="minorHAnsi"/>
          <w:sz w:val="24"/>
          <w:szCs w:val="24"/>
          <w:lang w:val="es-ES_tradnl"/>
        </w:rPr>
        <w:t>A efectos de esta convocatoria, Unitaid se refiere a l</w:t>
      </w:r>
      <w:r w:rsidR="00EB3659">
        <w:rPr>
          <w:rFonts w:eastAsia="SimSun" w:cstheme="minorHAnsi"/>
          <w:sz w:val="24"/>
          <w:szCs w:val="24"/>
          <w:lang w:val="es-ES_tradnl"/>
        </w:rPr>
        <w:t>os</w:t>
      </w:r>
      <w:r w:rsidRPr="009A3DDF">
        <w:rPr>
          <w:rFonts w:eastAsia="SimSun" w:cstheme="minorHAnsi"/>
          <w:sz w:val="24"/>
          <w:szCs w:val="24"/>
          <w:lang w:val="es-ES_tradnl"/>
        </w:rPr>
        <w:t xml:space="preserve"> </w:t>
      </w:r>
      <w:r w:rsidR="00EB3659">
        <w:rPr>
          <w:rFonts w:eastAsia="SimSun" w:cstheme="minorHAnsi"/>
          <w:sz w:val="24"/>
          <w:szCs w:val="24"/>
          <w:lang w:val="es-ES_tradnl"/>
        </w:rPr>
        <w:t>‘</w:t>
      </w:r>
      <w:r w:rsidRPr="009A3DDF">
        <w:rPr>
          <w:rFonts w:eastAsia="SimSun" w:cstheme="minorHAnsi"/>
          <w:sz w:val="24"/>
          <w:szCs w:val="24"/>
          <w:lang w:val="es-ES_tradnl"/>
        </w:rPr>
        <w:t>productos de acción prolongada</w:t>
      </w:r>
      <w:r w:rsidR="00EB3659">
        <w:rPr>
          <w:rFonts w:eastAsia="SimSun" w:cstheme="minorHAnsi"/>
          <w:sz w:val="24"/>
          <w:szCs w:val="24"/>
          <w:lang w:val="es-ES_tradnl"/>
        </w:rPr>
        <w:t xml:space="preserve">’ </w:t>
      </w:r>
      <w:r w:rsidRPr="009A3DDF">
        <w:rPr>
          <w:rFonts w:eastAsia="SimSun" w:cstheme="minorHAnsi"/>
          <w:sz w:val="24"/>
          <w:szCs w:val="24"/>
          <w:lang w:val="es-ES_tradnl"/>
        </w:rPr>
        <w:t>como aquell</w:t>
      </w:r>
      <w:r w:rsidR="00A149A3">
        <w:rPr>
          <w:rFonts w:eastAsia="SimSun" w:cstheme="minorHAnsi"/>
          <w:sz w:val="24"/>
          <w:szCs w:val="24"/>
          <w:lang w:val="es-ES_tradnl"/>
        </w:rPr>
        <w:t>os</w:t>
      </w:r>
      <w:r w:rsidRPr="009A3DDF">
        <w:rPr>
          <w:rFonts w:eastAsia="SimSun" w:cstheme="minorHAnsi"/>
          <w:sz w:val="24"/>
          <w:szCs w:val="24"/>
          <w:lang w:val="es-ES_tradnl"/>
        </w:rPr>
        <w:t xml:space="preserve"> que permiten la liber</w:t>
      </w:r>
      <w:r w:rsidR="00D421AD" w:rsidRPr="009A3DDF">
        <w:rPr>
          <w:rFonts w:eastAsia="SimSun" w:cstheme="minorHAnsi"/>
          <w:sz w:val="24"/>
          <w:szCs w:val="24"/>
          <w:lang w:val="es-ES_tradnl"/>
        </w:rPr>
        <w:t>ación mantenida de un</w:t>
      </w:r>
      <w:r w:rsidRPr="009A3DDF">
        <w:rPr>
          <w:rFonts w:eastAsia="SimSun" w:cstheme="minorHAnsi"/>
          <w:sz w:val="24"/>
          <w:szCs w:val="24"/>
          <w:lang w:val="es-ES_tradnl"/>
        </w:rPr>
        <w:t xml:space="preserve"> fármaco</w:t>
      </w:r>
      <w:r w:rsidR="00D421AD" w:rsidRPr="009A3DDF">
        <w:rPr>
          <w:rFonts w:eastAsia="SimSun" w:cstheme="minorHAnsi"/>
          <w:sz w:val="24"/>
          <w:szCs w:val="24"/>
          <w:lang w:val="es-ES_tradnl"/>
        </w:rPr>
        <w:t>,</w:t>
      </w:r>
      <w:r w:rsidRPr="009A3DDF">
        <w:rPr>
          <w:rFonts w:eastAsia="SimSun" w:cstheme="minorHAnsi"/>
          <w:sz w:val="24"/>
          <w:szCs w:val="24"/>
          <w:lang w:val="es-ES_tradnl"/>
        </w:rPr>
        <w:t xml:space="preserve"> de forma que se absorb</w:t>
      </w:r>
      <w:r w:rsidR="00D421AD" w:rsidRPr="009A3DDF">
        <w:rPr>
          <w:rFonts w:eastAsia="SimSun" w:cstheme="minorHAnsi"/>
          <w:sz w:val="24"/>
          <w:szCs w:val="24"/>
          <w:lang w:val="es-ES_tradnl"/>
        </w:rPr>
        <w:t>a</w:t>
      </w:r>
      <w:r w:rsidRPr="009A3DDF">
        <w:rPr>
          <w:rFonts w:eastAsia="SimSun" w:cstheme="minorHAnsi"/>
          <w:sz w:val="24"/>
          <w:szCs w:val="24"/>
          <w:lang w:val="es-ES_tradnl"/>
        </w:rPr>
        <w:t xml:space="preserve"> lentamente y su efecto perdur</w:t>
      </w:r>
      <w:r w:rsidR="00D421AD" w:rsidRPr="009A3DDF">
        <w:rPr>
          <w:rFonts w:eastAsia="SimSun" w:cstheme="minorHAnsi"/>
          <w:sz w:val="24"/>
          <w:szCs w:val="24"/>
          <w:lang w:val="es-ES_tradnl"/>
        </w:rPr>
        <w:t>e</w:t>
      </w:r>
      <w:r w:rsidRPr="009A3DDF">
        <w:rPr>
          <w:rFonts w:eastAsia="SimSun" w:cstheme="minorHAnsi"/>
          <w:sz w:val="24"/>
          <w:szCs w:val="24"/>
          <w:lang w:val="es-ES_tradnl"/>
        </w:rPr>
        <w:t xml:space="preserve"> durante periodos </w:t>
      </w:r>
      <w:r w:rsidR="00A149A3">
        <w:rPr>
          <w:rFonts w:eastAsia="SimSun" w:cstheme="minorHAnsi"/>
          <w:sz w:val="24"/>
          <w:szCs w:val="24"/>
          <w:lang w:val="es-ES_tradnl"/>
        </w:rPr>
        <w:t>largos</w:t>
      </w:r>
      <w:r w:rsidRPr="009A3DDF">
        <w:rPr>
          <w:rFonts w:eastAsia="SimSun" w:cstheme="minorHAnsi"/>
          <w:sz w:val="24"/>
          <w:szCs w:val="24"/>
          <w:lang w:val="es-ES_tradnl"/>
        </w:rPr>
        <w:t xml:space="preserve"> (durante más de una semana para </w:t>
      </w:r>
      <w:r w:rsidR="00373B56">
        <w:rPr>
          <w:rFonts w:eastAsia="SimSun" w:cstheme="minorHAnsi"/>
          <w:sz w:val="24"/>
          <w:szCs w:val="24"/>
          <w:lang w:val="es-ES_tradnl"/>
        </w:rPr>
        <w:t>los productos</w:t>
      </w:r>
      <w:r w:rsidRPr="009A3DDF">
        <w:rPr>
          <w:rFonts w:eastAsia="SimSun" w:cstheme="minorHAnsi"/>
          <w:sz w:val="24"/>
          <w:szCs w:val="24"/>
          <w:lang w:val="es-ES_tradnl"/>
        </w:rPr>
        <w:t xml:space="preserve"> orales y más de un mes para los inyectables y otr</w:t>
      </w:r>
      <w:r w:rsidR="00373B56">
        <w:rPr>
          <w:rFonts w:eastAsia="SimSun" w:cstheme="minorHAnsi"/>
          <w:sz w:val="24"/>
          <w:szCs w:val="24"/>
          <w:lang w:val="es-ES_tradnl"/>
        </w:rPr>
        <w:t>os elementos</w:t>
      </w:r>
      <w:r w:rsidRPr="009A3DDF">
        <w:rPr>
          <w:rFonts w:eastAsia="SimSun" w:cstheme="minorHAnsi"/>
          <w:sz w:val="24"/>
          <w:szCs w:val="24"/>
          <w:lang w:val="es-ES_tradnl"/>
        </w:rPr>
        <w:t xml:space="preserve"> como implantes,</w:t>
      </w:r>
      <w:r w:rsidR="00A149A3">
        <w:rPr>
          <w:rFonts w:eastAsia="SimSun" w:cstheme="minorHAnsi"/>
          <w:sz w:val="24"/>
          <w:szCs w:val="24"/>
          <w:lang w:val="es-ES_tradnl"/>
        </w:rPr>
        <w:t xml:space="preserve"> </w:t>
      </w:r>
      <w:r w:rsidRPr="009A3DDF">
        <w:rPr>
          <w:rFonts w:eastAsia="SimSun" w:cstheme="minorHAnsi"/>
          <w:sz w:val="24"/>
          <w:szCs w:val="24"/>
          <w:lang w:val="es-ES_tradnl"/>
        </w:rPr>
        <w:t xml:space="preserve">parches y anillos). </w:t>
      </w:r>
      <w:r w:rsidR="00160FE6">
        <w:rPr>
          <w:rFonts w:eastAsia="SimSun" w:cstheme="minorHAnsi"/>
          <w:sz w:val="24"/>
          <w:szCs w:val="24"/>
          <w:lang w:val="es-ES_tradnl"/>
        </w:rPr>
        <w:t>Las</w:t>
      </w:r>
      <w:r w:rsidRPr="009A3DDF">
        <w:rPr>
          <w:rFonts w:eastAsia="SimSun" w:cstheme="minorHAnsi"/>
          <w:sz w:val="24"/>
          <w:szCs w:val="24"/>
          <w:lang w:val="es-ES_tradnl"/>
        </w:rPr>
        <w:t xml:space="preserve"> convocatoria</w:t>
      </w:r>
      <w:r w:rsidR="006B19FE" w:rsidRPr="009A3DDF">
        <w:rPr>
          <w:rFonts w:eastAsia="SimSun" w:cstheme="minorHAnsi"/>
          <w:sz w:val="24"/>
          <w:szCs w:val="24"/>
          <w:lang w:val="es-ES_tradnl"/>
        </w:rPr>
        <w:t>s</w:t>
      </w:r>
      <w:r w:rsidRPr="009A3DDF">
        <w:rPr>
          <w:rFonts w:eastAsia="SimSun" w:cstheme="minorHAnsi"/>
          <w:sz w:val="24"/>
          <w:szCs w:val="24"/>
          <w:lang w:val="es-ES_tradnl"/>
        </w:rPr>
        <w:t xml:space="preserve"> deber</w:t>
      </w:r>
      <w:r w:rsidR="00160FE6">
        <w:rPr>
          <w:rFonts w:eastAsia="SimSun" w:cstheme="minorHAnsi"/>
          <w:sz w:val="24"/>
          <w:szCs w:val="24"/>
          <w:lang w:val="es-ES_tradnl"/>
        </w:rPr>
        <w:t>án</w:t>
      </w:r>
      <w:r w:rsidRPr="009A3DDF">
        <w:rPr>
          <w:rFonts w:eastAsia="SimSun" w:cstheme="minorHAnsi"/>
          <w:sz w:val="24"/>
          <w:szCs w:val="24"/>
          <w:lang w:val="es-ES_tradnl"/>
        </w:rPr>
        <w:t xml:space="preserve"> </w:t>
      </w:r>
      <w:r w:rsidR="006B19FE" w:rsidRPr="009A3DDF">
        <w:rPr>
          <w:rFonts w:eastAsia="SimSun" w:cstheme="minorHAnsi"/>
          <w:sz w:val="24"/>
          <w:szCs w:val="24"/>
          <w:lang w:val="es-ES_tradnl"/>
        </w:rPr>
        <w:t>exponer</w:t>
      </w:r>
      <w:r w:rsidRPr="009A3DDF">
        <w:rPr>
          <w:rFonts w:eastAsia="SimSun" w:cstheme="minorHAnsi"/>
          <w:sz w:val="24"/>
          <w:szCs w:val="24"/>
          <w:lang w:val="es-ES_tradnl"/>
        </w:rPr>
        <w:t xml:space="preserve"> </w:t>
      </w:r>
      <w:r w:rsidR="00160FE6">
        <w:rPr>
          <w:rFonts w:eastAsia="SimSun" w:cstheme="minorHAnsi"/>
          <w:sz w:val="24"/>
          <w:szCs w:val="24"/>
          <w:lang w:val="es-ES_tradnl"/>
        </w:rPr>
        <w:t xml:space="preserve">el impacto que </w:t>
      </w:r>
      <w:r w:rsidR="00A149A3">
        <w:rPr>
          <w:rFonts w:eastAsia="SimSun" w:cstheme="minorHAnsi"/>
          <w:sz w:val="24"/>
          <w:szCs w:val="24"/>
          <w:lang w:val="es-ES_tradnl"/>
        </w:rPr>
        <w:t xml:space="preserve">pasar de </w:t>
      </w:r>
      <w:r w:rsidR="00543D15">
        <w:rPr>
          <w:rFonts w:eastAsia="SimSun" w:cstheme="minorHAnsi"/>
          <w:sz w:val="24"/>
          <w:szCs w:val="24"/>
          <w:lang w:val="es-ES_tradnl"/>
        </w:rPr>
        <w:t xml:space="preserve">las </w:t>
      </w:r>
      <w:r w:rsidRPr="009A3DDF">
        <w:rPr>
          <w:rFonts w:eastAsia="SimSun" w:cstheme="minorHAnsi"/>
          <w:sz w:val="24"/>
          <w:szCs w:val="24"/>
          <w:lang w:val="es-ES_tradnl"/>
        </w:rPr>
        <w:t>formulaci</w:t>
      </w:r>
      <w:r w:rsidR="00543D15">
        <w:rPr>
          <w:rFonts w:eastAsia="SimSun" w:cstheme="minorHAnsi"/>
          <w:sz w:val="24"/>
          <w:szCs w:val="24"/>
          <w:lang w:val="es-ES_tradnl"/>
        </w:rPr>
        <w:t>ones</w:t>
      </w:r>
      <w:r w:rsidRPr="009A3DDF">
        <w:rPr>
          <w:rFonts w:eastAsia="SimSun" w:cstheme="minorHAnsi"/>
          <w:sz w:val="24"/>
          <w:szCs w:val="24"/>
          <w:lang w:val="es-ES_tradnl"/>
        </w:rPr>
        <w:t xml:space="preserve"> oral</w:t>
      </w:r>
      <w:r w:rsidR="00543D15">
        <w:rPr>
          <w:rFonts w:eastAsia="SimSun" w:cstheme="minorHAnsi"/>
          <w:sz w:val="24"/>
          <w:szCs w:val="24"/>
          <w:lang w:val="es-ES_tradnl"/>
        </w:rPr>
        <w:t>es</w:t>
      </w:r>
      <w:r w:rsidRPr="009A3DDF">
        <w:rPr>
          <w:rFonts w:eastAsia="SimSun" w:cstheme="minorHAnsi"/>
          <w:sz w:val="24"/>
          <w:szCs w:val="24"/>
          <w:lang w:val="es-ES_tradnl"/>
        </w:rPr>
        <w:t xml:space="preserve"> </w:t>
      </w:r>
      <w:r w:rsidR="00543D15">
        <w:rPr>
          <w:rFonts w:eastAsia="SimSun" w:cstheme="minorHAnsi"/>
          <w:sz w:val="24"/>
          <w:szCs w:val="24"/>
          <w:lang w:val="es-ES_tradnl"/>
        </w:rPr>
        <w:t xml:space="preserve">diarias </w:t>
      </w:r>
      <w:proofErr w:type="gramStart"/>
      <w:r w:rsidR="00A149A3">
        <w:rPr>
          <w:rFonts w:eastAsia="SimSun" w:cstheme="minorHAnsi"/>
          <w:sz w:val="24"/>
          <w:szCs w:val="24"/>
          <w:lang w:val="es-ES_tradnl"/>
        </w:rPr>
        <w:t xml:space="preserve">a </w:t>
      </w:r>
      <w:r w:rsidR="00373B56">
        <w:rPr>
          <w:rFonts w:eastAsia="SimSun" w:cstheme="minorHAnsi"/>
          <w:sz w:val="24"/>
          <w:szCs w:val="24"/>
          <w:lang w:val="es-ES_tradnl"/>
        </w:rPr>
        <w:t xml:space="preserve"> producto</w:t>
      </w:r>
      <w:r w:rsidR="00543D15">
        <w:rPr>
          <w:rFonts w:eastAsia="SimSun" w:cstheme="minorHAnsi"/>
          <w:sz w:val="24"/>
          <w:szCs w:val="24"/>
          <w:lang w:val="es-ES_tradnl"/>
        </w:rPr>
        <w:t>s</w:t>
      </w:r>
      <w:proofErr w:type="gramEnd"/>
      <w:r w:rsidR="00543D15">
        <w:rPr>
          <w:rFonts w:eastAsia="SimSun" w:cstheme="minorHAnsi"/>
          <w:sz w:val="24"/>
          <w:szCs w:val="24"/>
          <w:lang w:val="es-ES_tradnl"/>
        </w:rPr>
        <w:t xml:space="preserve"> </w:t>
      </w:r>
      <w:r w:rsidR="00A149A3">
        <w:rPr>
          <w:rFonts w:eastAsia="SimSun" w:cstheme="minorHAnsi"/>
          <w:sz w:val="24"/>
          <w:szCs w:val="24"/>
          <w:lang w:val="es-ES_tradnl"/>
        </w:rPr>
        <w:t>de acción prolongada</w:t>
      </w:r>
      <w:r w:rsidR="00160FE6">
        <w:rPr>
          <w:rFonts w:eastAsia="SimSun" w:cstheme="minorHAnsi"/>
          <w:sz w:val="24"/>
          <w:szCs w:val="24"/>
          <w:lang w:val="es-ES_tradnl"/>
        </w:rPr>
        <w:t xml:space="preserve"> tendrá para la salud pública, </w:t>
      </w:r>
      <w:r w:rsidR="00543D15">
        <w:rPr>
          <w:rFonts w:eastAsia="SimSun" w:cstheme="minorHAnsi"/>
          <w:sz w:val="24"/>
          <w:szCs w:val="24"/>
          <w:lang w:val="es-ES_tradnl"/>
        </w:rPr>
        <w:t>puesto que ello</w:t>
      </w:r>
      <w:r w:rsidR="00A149A3">
        <w:rPr>
          <w:rFonts w:eastAsia="SimSun" w:cstheme="minorHAnsi"/>
          <w:sz w:val="24"/>
          <w:szCs w:val="24"/>
          <w:lang w:val="es-ES_tradnl"/>
        </w:rPr>
        <w:t xml:space="preserve"> variará</w:t>
      </w:r>
      <w:r w:rsidRPr="009A3DDF">
        <w:rPr>
          <w:rFonts w:eastAsia="SimSun" w:cstheme="minorHAnsi"/>
          <w:sz w:val="24"/>
          <w:szCs w:val="24"/>
          <w:lang w:val="es-ES_tradnl"/>
        </w:rPr>
        <w:t xml:space="preserve"> en función de la enfermedad y </w:t>
      </w:r>
      <w:r w:rsidR="00D421AD" w:rsidRPr="009A3DDF">
        <w:rPr>
          <w:rFonts w:eastAsia="SimSun" w:cstheme="minorHAnsi"/>
          <w:sz w:val="24"/>
          <w:szCs w:val="24"/>
          <w:lang w:val="es-ES_tradnl"/>
        </w:rPr>
        <w:t>la indicación</w:t>
      </w:r>
      <w:r w:rsidR="00E7608A" w:rsidRPr="009A3DDF">
        <w:rPr>
          <w:rFonts w:cstheme="minorHAnsi"/>
          <w:sz w:val="24"/>
          <w:szCs w:val="24"/>
          <w:lang w:val="es-ES_tradnl"/>
        </w:rPr>
        <w:t>.</w:t>
      </w:r>
    </w:p>
    <w:p w14:paraId="295C318E" w14:textId="77777777" w:rsidR="00621434" w:rsidRDefault="00FA638C" w:rsidP="00621434">
      <w:pPr>
        <w:pStyle w:val="Heading1"/>
        <w:spacing w:line="240" w:lineRule="auto"/>
        <w:rPr>
          <w:rFonts w:asciiTheme="minorHAnsi" w:hAnsiTheme="minorHAnsi" w:cstheme="minorHAnsi"/>
          <w:sz w:val="36"/>
          <w:szCs w:val="36"/>
          <w:lang w:val="es-ES_tradnl" w:eastAsia="en-GB"/>
        </w:rPr>
      </w:pPr>
      <w:r w:rsidRPr="009A3DDF">
        <w:rPr>
          <w:rFonts w:asciiTheme="minorHAnsi" w:hAnsiTheme="minorHAnsi" w:cstheme="minorHAnsi"/>
          <w:sz w:val="36"/>
          <w:szCs w:val="36"/>
          <w:lang w:val="es-ES_tradnl" w:eastAsia="en-GB"/>
        </w:rPr>
        <w:t>Context</w:t>
      </w:r>
      <w:r w:rsidR="00445052" w:rsidRPr="009A3DDF">
        <w:rPr>
          <w:rFonts w:asciiTheme="minorHAnsi" w:hAnsiTheme="minorHAnsi" w:cstheme="minorHAnsi"/>
          <w:sz w:val="36"/>
          <w:szCs w:val="36"/>
          <w:lang w:val="es-ES_tradnl" w:eastAsia="en-GB"/>
        </w:rPr>
        <w:t>o</w:t>
      </w:r>
    </w:p>
    <w:p w14:paraId="4E7708BE" w14:textId="60913887" w:rsidR="00A93234" w:rsidRDefault="00621434" w:rsidP="00621434">
      <w:pPr>
        <w:pStyle w:val="Heading1"/>
        <w:spacing w:line="240" w:lineRule="auto"/>
        <w:rPr>
          <w:rFonts w:ascii="Calibri" w:hAnsi="Calibri" w:cs="Calibri"/>
          <w:color w:val="365F91"/>
          <w:sz w:val="22"/>
          <w:szCs w:val="22"/>
          <w:vertAlign w:val="superscript"/>
          <w:lang w:val="es-ES_tradnl"/>
        </w:rPr>
      </w:pPr>
      <w:r>
        <w:rPr>
          <w:rFonts w:asciiTheme="minorHAnsi" w:hAnsiTheme="minorHAnsi" w:cstheme="minorHAnsi"/>
          <w:sz w:val="36"/>
          <w:szCs w:val="36"/>
          <w:lang w:val="es-ES_tradnl" w:eastAsia="en-GB"/>
        </w:rPr>
        <w:t>D</w:t>
      </w:r>
      <w:r w:rsidR="00445052" w:rsidRPr="009A3DDF">
        <w:rPr>
          <w:rFonts w:asciiTheme="minorHAnsi" w:hAnsiTheme="minorHAnsi" w:cstheme="minorHAnsi"/>
          <w:sz w:val="24"/>
          <w:szCs w:val="24"/>
          <w:lang w:val="es-ES_tradnl"/>
        </w:rPr>
        <w:t xml:space="preserve">isponemos de medicamentos seguros y eficaces para prevenir y tratar la mayoría de las enfermedades importantes, pero </w:t>
      </w:r>
      <w:r w:rsidR="00780760">
        <w:rPr>
          <w:rFonts w:asciiTheme="minorHAnsi" w:hAnsiTheme="minorHAnsi" w:cstheme="minorHAnsi"/>
          <w:sz w:val="24"/>
          <w:szCs w:val="24"/>
          <w:lang w:val="es-ES_tradnl"/>
        </w:rPr>
        <w:t>la falta de adherencia al tratamiento</w:t>
      </w:r>
      <w:r w:rsidR="00445052" w:rsidRPr="009A3DDF">
        <w:rPr>
          <w:rFonts w:asciiTheme="minorHAnsi" w:hAnsiTheme="minorHAnsi" w:cstheme="minorHAnsi"/>
          <w:sz w:val="24"/>
          <w:szCs w:val="24"/>
          <w:lang w:val="es-ES_tradnl"/>
        </w:rPr>
        <w:t xml:space="preserve"> puede comprometer su eficacia. Cuando un paciente no completa un tratamiento, su evolución clínica puede empeorar</w:t>
      </w:r>
      <w:r w:rsidR="00780760">
        <w:rPr>
          <w:rFonts w:asciiTheme="minorHAnsi" w:hAnsiTheme="minorHAnsi" w:cstheme="minorHAnsi"/>
          <w:sz w:val="24"/>
          <w:szCs w:val="24"/>
          <w:lang w:val="es-ES_tradnl"/>
        </w:rPr>
        <w:t xml:space="preserve">. La interrupción también puede conllevar </w:t>
      </w:r>
      <w:r w:rsidR="00445052" w:rsidRPr="009A3DDF">
        <w:rPr>
          <w:rFonts w:asciiTheme="minorHAnsi" w:hAnsiTheme="minorHAnsi" w:cstheme="minorHAnsi"/>
          <w:sz w:val="24"/>
          <w:szCs w:val="24"/>
          <w:lang w:val="es-ES_tradnl"/>
        </w:rPr>
        <w:t>una mayor mortalidad</w:t>
      </w:r>
      <w:r w:rsidR="00D421AD" w:rsidRPr="009A3DDF">
        <w:rPr>
          <w:rFonts w:asciiTheme="minorHAnsi" w:hAnsiTheme="minorHAnsi" w:cstheme="minorHAnsi"/>
          <w:sz w:val="24"/>
          <w:szCs w:val="24"/>
          <w:lang w:val="es-ES_tradnl"/>
        </w:rPr>
        <w:t>,</w:t>
      </w:r>
      <w:r w:rsidR="00445052" w:rsidRPr="009A3DDF">
        <w:rPr>
          <w:rFonts w:asciiTheme="minorHAnsi" w:hAnsiTheme="minorHAnsi" w:cstheme="minorHAnsi"/>
          <w:sz w:val="24"/>
          <w:szCs w:val="24"/>
          <w:lang w:val="es-ES_tradnl"/>
        </w:rPr>
        <w:t xml:space="preserve"> la trasmisión de patógenos y el aumento de las resistencias a antimicrobianos y anti</w:t>
      </w:r>
      <w:r w:rsidR="00D421AD" w:rsidRPr="009A3DDF">
        <w:rPr>
          <w:rFonts w:asciiTheme="minorHAnsi" w:hAnsiTheme="minorHAnsi" w:cstheme="minorHAnsi"/>
          <w:sz w:val="24"/>
          <w:szCs w:val="24"/>
          <w:lang w:val="es-ES_tradnl"/>
        </w:rPr>
        <w:t>víri</w:t>
      </w:r>
      <w:r w:rsidR="00445052" w:rsidRPr="009A3DDF">
        <w:rPr>
          <w:rFonts w:asciiTheme="minorHAnsi" w:hAnsiTheme="minorHAnsi" w:cstheme="minorHAnsi"/>
          <w:sz w:val="24"/>
          <w:szCs w:val="24"/>
          <w:lang w:val="es-ES_tradnl"/>
        </w:rPr>
        <w:t xml:space="preserve">cos. </w:t>
      </w:r>
      <w:r w:rsidR="00D421AD" w:rsidRPr="009A3DDF">
        <w:rPr>
          <w:rFonts w:asciiTheme="minorHAnsi" w:hAnsiTheme="minorHAnsi" w:cstheme="minorHAnsi"/>
          <w:sz w:val="24"/>
          <w:szCs w:val="24"/>
          <w:lang w:val="es-ES_tradnl"/>
        </w:rPr>
        <w:t xml:space="preserve"> </w:t>
      </w:r>
      <w:r w:rsidR="00780760">
        <w:rPr>
          <w:rFonts w:asciiTheme="minorHAnsi" w:hAnsiTheme="minorHAnsi" w:cstheme="minorHAnsi"/>
          <w:sz w:val="24"/>
          <w:szCs w:val="24"/>
          <w:lang w:val="es-ES_tradnl"/>
        </w:rPr>
        <w:t>El a</w:t>
      </w:r>
      <w:r w:rsidR="00D421AD" w:rsidRPr="009A3DDF">
        <w:rPr>
          <w:rFonts w:asciiTheme="minorHAnsi" w:hAnsiTheme="minorHAnsi" w:cstheme="minorHAnsi"/>
          <w:sz w:val="24"/>
          <w:szCs w:val="24"/>
          <w:lang w:val="es-ES_tradnl"/>
        </w:rPr>
        <w:t>nálisis de l</w:t>
      </w:r>
      <w:r w:rsidR="00780760">
        <w:rPr>
          <w:rFonts w:asciiTheme="minorHAnsi" w:hAnsiTheme="minorHAnsi" w:cstheme="minorHAnsi"/>
          <w:sz w:val="24"/>
          <w:szCs w:val="24"/>
          <w:lang w:val="es-ES_tradnl"/>
        </w:rPr>
        <w:t>os</w:t>
      </w:r>
      <w:r w:rsidR="00D421AD" w:rsidRPr="009A3DDF">
        <w:rPr>
          <w:rFonts w:asciiTheme="minorHAnsi" w:hAnsiTheme="minorHAnsi" w:cstheme="minorHAnsi"/>
          <w:sz w:val="24"/>
          <w:szCs w:val="24"/>
          <w:lang w:val="es-ES_tradnl"/>
        </w:rPr>
        <w:t xml:space="preserve"> </w:t>
      </w:r>
      <w:r w:rsidR="00780760">
        <w:rPr>
          <w:rFonts w:asciiTheme="minorHAnsi" w:hAnsiTheme="minorHAnsi" w:cstheme="minorHAnsi"/>
          <w:sz w:val="24"/>
          <w:szCs w:val="24"/>
          <w:lang w:val="es-ES_tradnl"/>
        </w:rPr>
        <w:t xml:space="preserve">programas públicos de </w:t>
      </w:r>
      <w:r w:rsidR="00D421AD" w:rsidRPr="009A3DDF">
        <w:rPr>
          <w:rFonts w:asciiTheme="minorHAnsi" w:hAnsiTheme="minorHAnsi" w:cstheme="minorHAnsi"/>
          <w:sz w:val="24"/>
          <w:szCs w:val="24"/>
          <w:lang w:val="es-ES_tradnl"/>
        </w:rPr>
        <w:t>prevención y</w:t>
      </w:r>
      <w:r w:rsidR="00445052" w:rsidRPr="009A3DDF">
        <w:rPr>
          <w:rFonts w:asciiTheme="minorHAnsi" w:hAnsiTheme="minorHAnsi" w:cstheme="minorHAnsi"/>
          <w:sz w:val="24"/>
          <w:szCs w:val="24"/>
          <w:lang w:val="es-ES_tradnl"/>
        </w:rPr>
        <w:t xml:space="preserve"> tratamiento de la infección por VIH, paludismo y</w:t>
      </w:r>
      <w:r w:rsidR="00780760">
        <w:rPr>
          <w:rFonts w:asciiTheme="minorHAnsi" w:hAnsiTheme="minorHAnsi" w:cstheme="minorHAnsi"/>
          <w:sz w:val="24"/>
          <w:szCs w:val="24"/>
          <w:lang w:val="es-ES_tradnl"/>
        </w:rPr>
        <w:t xml:space="preserve"> </w:t>
      </w:r>
      <w:r w:rsidR="00445052" w:rsidRPr="009A3DDF">
        <w:rPr>
          <w:rFonts w:asciiTheme="minorHAnsi" w:hAnsiTheme="minorHAnsi" w:cstheme="minorHAnsi"/>
          <w:sz w:val="24"/>
          <w:szCs w:val="24"/>
          <w:lang w:val="es-ES_tradnl"/>
        </w:rPr>
        <w:t xml:space="preserve">tuberculosis </w:t>
      </w:r>
      <w:r w:rsidR="00780760">
        <w:rPr>
          <w:rFonts w:asciiTheme="minorHAnsi" w:hAnsiTheme="minorHAnsi" w:cstheme="minorHAnsi"/>
          <w:sz w:val="24"/>
          <w:szCs w:val="24"/>
          <w:lang w:val="es-ES_tradnl"/>
        </w:rPr>
        <w:t>muestra que</w:t>
      </w:r>
      <w:r w:rsidR="00445052" w:rsidRPr="009A3DDF">
        <w:rPr>
          <w:rFonts w:asciiTheme="minorHAnsi" w:hAnsiTheme="minorHAnsi" w:cstheme="minorHAnsi"/>
          <w:sz w:val="24"/>
          <w:szCs w:val="24"/>
          <w:lang w:val="es-ES_tradnl"/>
        </w:rPr>
        <w:t xml:space="preserve"> </w:t>
      </w:r>
      <w:r w:rsidR="00D421AD" w:rsidRPr="009A3DDF">
        <w:rPr>
          <w:rFonts w:asciiTheme="minorHAnsi" w:hAnsiTheme="minorHAnsi" w:cstheme="minorHAnsi"/>
          <w:sz w:val="24"/>
          <w:szCs w:val="24"/>
          <w:lang w:val="es-ES_tradnl"/>
        </w:rPr>
        <w:t>ha</w:t>
      </w:r>
      <w:r w:rsidR="00445052" w:rsidRPr="009A3DDF">
        <w:rPr>
          <w:rFonts w:asciiTheme="minorHAnsi" w:hAnsiTheme="minorHAnsi" w:cstheme="minorHAnsi"/>
          <w:sz w:val="24"/>
          <w:szCs w:val="24"/>
          <w:lang w:val="es-ES_tradnl"/>
        </w:rPr>
        <w:t xml:space="preserve">y grandes </w:t>
      </w:r>
      <w:r w:rsidR="00483F94" w:rsidRPr="009A3DDF">
        <w:rPr>
          <w:rFonts w:asciiTheme="minorHAnsi" w:hAnsiTheme="minorHAnsi" w:cstheme="minorHAnsi"/>
          <w:sz w:val="24"/>
          <w:szCs w:val="24"/>
          <w:lang w:val="es-ES_tradnl"/>
        </w:rPr>
        <w:t>disparidades</w:t>
      </w:r>
      <w:r w:rsidR="00445052" w:rsidRPr="009A3DDF">
        <w:rPr>
          <w:rFonts w:asciiTheme="minorHAnsi" w:hAnsiTheme="minorHAnsi" w:cstheme="minorHAnsi"/>
          <w:sz w:val="24"/>
          <w:szCs w:val="24"/>
          <w:lang w:val="es-ES_tradnl"/>
        </w:rPr>
        <w:t xml:space="preserve"> </w:t>
      </w:r>
      <w:r w:rsidR="00D421AD" w:rsidRPr="009A3DDF">
        <w:rPr>
          <w:rFonts w:asciiTheme="minorHAnsi" w:hAnsiTheme="minorHAnsi" w:cstheme="minorHAnsi"/>
          <w:sz w:val="24"/>
          <w:szCs w:val="24"/>
          <w:lang w:val="es-ES_tradnl"/>
        </w:rPr>
        <w:t>en</w:t>
      </w:r>
      <w:r w:rsidR="00445052" w:rsidRPr="009A3DDF">
        <w:rPr>
          <w:rFonts w:asciiTheme="minorHAnsi" w:hAnsiTheme="minorHAnsi" w:cstheme="minorHAnsi"/>
          <w:sz w:val="24"/>
          <w:szCs w:val="24"/>
          <w:lang w:val="es-ES_tradnl"/>
        </w:rPr>
        <w:t xml:space="preserve"> las tasas </w:t>
      </w:r>
      <w:r w:rsidR="00780760">
        <w:rPr>
          <w:rFonts w:asciiTheme="minorHAnsi" w:hAnsiTheme="minorHAnsi" w:cstheme="minorHAnsi"/>
          <w:sz w:val="24"/>
          <w:szCs w:val="24"/>
          <w:lang w:val="es-ES_tradnl"/>
        </w:rPr>
        <w:t>de adherencia a los</w:t>
      </w:r>
      <w:r w:rsidR="00445052" w:rsidRPr="009A3DDF">
        <w:rPr>
          <w:rFonts w:asciiTheme="minorHAnsi" w:hAnsiTheme="minorHAnsi" w:cstheme="minorHAnsi"/>
          <w:sz w:val="24"/>
          <w:szCs w:val="24"/>
          <w:lang w:val="es-ES_tradnl"/>
        </w:rPr>
        <w:t xml:space="preserve"> tratamiento</w:t>
      </w:r>
      <w:r w:rsidR="00D421AD" w:rsidRPr="009A3DDF">
        <w:rPr>
          <w:rFonts w:asciiTheme="minorHAnsi" w:hAnsiTheme="minorHAnsi" w:cstheme="minorHAnsi"/>
          <w:sz w:val="24"/>
          <w:szCs w:val="24"/>
          <w:lang w:val="es-ES_tradnl"/>
        </w:rPr>
        <w:t>s</w:t>
      </w:r>
      <w:r w:rsidR="00445052" w:rsidRPr="009A3DDF">
        <w:rPr>
          <w:rFonts w:asciiTheme="minorHAnsi" w:hAnsiTheme="minorHAnsi" w:cstheme="minorHAnsi"/>
          <w:sz w:val="24"/>
          <w:szCs w:val="24"/>
          <w:lang w:val="es-ES_tradnl"/>
        </w:rPr>
        <w:t>, sobre todo entre d</w:t>
      </w:r>
      <w:r w:rsidR="00780760">
        <w:rPr>
          <w:rFonts w:asciiTheme="minorHAnsi" w:hAnsiTheme="minorHAnsi" w:cstheme="minorHAnsi"/>
          <w:sz w:val="24"/>
          <w:szCs w:val="24"/>
          <w:lang w:val="es-ES_tradnl"/>
        </w:rPr>
        <w:t xml:space="preserve">iferentes </w:t>
      </w:r>
      <w:r w:rsidR="00445052" w:rsidRPr="009A3DDF">
        <w:rPr>
          <w:rFonts w:asciiTheme="minorHAnsi" w:hAnsiTheme="minorHAnsi" w:cstheme="minorHAnsi"/>
          <w:sz w:val="24"/>
          <w:szCs w:val="24"/>
          <w:lang w:val="es-ES_tradnl"/>
        </w:rPr>
        <w:t xml:space="preserve">grupos </w:t>
      </w:r>
      <w:r w:rsidR="00780760">
        <w:rPr>
          <w:rFonts w:asciiTheme="minorHAnsi" w:hAnsiTheme="minorHAnsi" w:cstheme="minorHAnsi"/>
          <w:sz w:val="24"/>
          <w:szCs w:val="24"/>
          <w:lang w:val="es-ES_tradnl"/>
        </w:rPr>
        <w:t xml:space="preserve">de población </w:t>
      </w:r>
      <w:r w:rsidR="00445052" w:rsidRPr="009A3DDF">
        <w:rPr>
          <w:rFonts w:asciiTheme="minorHAnsi" w:hAnsiTheme="minorHAnsi" w:cstheme="minorHAnsi"/>
          <w:sz w:val="24"/>
          <w:szCs w:val="24"/>
          <w:lang w:val="es-ES_tradnl"/>
        </w:rPr>
        <w:t xml:space="preserve">y distintas </w:t>
      </w:r>
      <w:r w:rsidR="00445052" w:rsidRPr="009A3DDF">
        <w:rPr>
          <w:rFonts w:asciiTheme="minorHAnsi" w:hAnsiTheme="minorHAnsi" w:cstheme="minorHAnsi"/>
          <w:color w:val="365F91"/>
          <w:sz w:val="24"/>
          <w:szCs w:val="24"/>
          <w:lang w:val="es-ES_tradnl"/>
        </w:rPr>
        <w:t>regiones</w:t>
      </w:r>
      <w:r w:rsidR="00C8201A" w:rsidRPr="009A3DDF">
        <w:rPr>
          <w:rFonts w:asciiTheme="minorHAnsi" w:hAnsiTheme="minorHAnsi" w:cstheme="minorHAnsi"/>
          <w:color w:val="365F91"/>
          <w:sz w:val="24"/>
          <w:szCs w:val="24"/>
          <w:lang w:val="es-ES_tradnl"/>
        </w:rPr>
        <w:t>.</w:t>
      </w:r>
      <w:r w:rsidR="00B6693F" w:rsidRPr="009A3DDF">
        <w:rPr>
          <w:rStyle w:val="FootnoteReference"/>
          <w:rFonts w:ascii="Calibri" w:hAnsi="Calibri" w:cs="Calibri"/>
          <w:color w:val="365F91"/>
          <w:sz w:val="22"/>
          <w:szCs w:val="22"/>
          <w:lang w:val="es-ES_tradnl"/>
        </w:rPr>
        <w:footnoteReference w:id="1"/>
      </w:r>
      <w:r w:rsidR="00B6693F" w:rsidRPr="009A3DDF">
        <w:rPr>
          <w:rFonts w:ascii="Calibri" w:hAnsi="Calibri" w:cs="Calibri"/>
          <w:color w:val="365F91"/>
          <w:sz w:val="22"/>
          <w:szCs w:val="22"/>
          <w:vertAlign w:val="superscript"/>
          <w:lang w:val="es-ES_tradnl"/>
        </w:rPr>
        <w:t>,</w:t>
      </w:r>
      <w:r w:rsidR="00B6693F" w:rsidRPr="009A3DDF">
        <w:rPr>
          <w:rStyle w:val="FootnoteReference"/>
          <w:rFonts w:ascii="Calibri" w:hAnsi="Calibri" w:cs="Calibri"/>
          <w:color w:val="365F91"/>
          <w:sz w:val="22"/>
          <w:szCs w:val="22"/>
          <w:lang w:val="es-ES_tradnl"/>
        </w:rPr>
        <w:footnoteReference w:id="2"/>
      </w:r>
      <w:r w:rsidR="00B6693F" w:rsidRPr="009A3DDF">
        <w:rPr>
          <w:rFonts w:ascii="Calibri" w:hAnsi="Calibri" w:cs="Calibri"/>
          <w:color w:val="365F91"/>
          <w:sz w:val="22"/>
          <w:szCs w:val="22"/>
          <w:vertAlign w:val="superscript"/>
          <w:lang w:val="es-ES_tradnl"/>
        </w:rPr>
        <w:t>,</w:t>
      </w:r>
      <w:r w:rsidR="00B6693F" w:rsidRPr="009A3DDF">
        <w:rPr>
          <w:rStyle w:val="FootnoteReference"/>
          <w:rFonts w:ascii="Calibri" w:hAnsi="Calibri" w:cs="Calibri"/>
          <w:color w:val="365F91"/>
          <w:sz w:val="22"/>
          <w:szCs w:val="22"/>
          <w:lang w:val="es-ES_tradnl"/>
        </w:rPr>
        <w:footnoteReference w:id="3"/>
      </w:r>
      <w:bookmarkStart w:id="1" w:name="_Ref529253051"/>
      <w:r w:rsidR="00B6693F" w:rsidRPr="009A3DDF">
        <w:rPr>
          <w:rFonts w:ascii="Calibri" w:hAnsi="Calibri" w:cs="Calibri"/>
          <w:color w:val="365F91"/>
          <w:sz w:val="22"/>
          <w:szCs w:val="22"/>
          <w:vertAlign w:val="superscript"/>
          <w:lang w:val="es-ES_tradnl"/>
        </w:rPr>
        <w:t>,</w:t>
      </w:r>
      <w:r w:rsidR="00B6693F" w:rsidRPr="009A3DDF">
        <w:rPr>
          <w:rStyle w:val="FootnoteReference"/>
          <w:rFonts w:ascii="Calibri" w:hAnsi="Calibri" w:cs="Calibri"/>
          <w:color w:val="365F91"/>
          <w:sz w:val="22"/>
          <w:szCs w:val="22"/>
          <w:lang w:val="es-ES_tradnl"/>
        </w:rPr>
        <w:footnoteReference w:id="4"/>
      </w:r>
      <w:bookmarkEnd w:id="1"/>
      <w:r w:rsidR="00B6693F" w:rsidRPr="009A3DDF">
        <w:rPr>
          <w:rFonts w:ascii="Calibri" w:hAnsi="Calibri" w:cs="Calibri"/>
          <w:color w:val="365F91"/>
          <w:sz w:val="22"/>
          <w:szCs w:val="22"/>
          <w:vertAlign w:val="superscript"/>
          <w:lang w:val="es-ES_tradnl"/>
        </w:rPr>
        <w:t>,</w:t>
      </w:r>
      <w:r w:rsidR="00B6693F" w:rsidRPr="009A3DDF">
        <w:rPr>
          <w:rStyle w:val="FootnoteReference"/>
          <w:rFonts w:ascii="Calibri" w:hAnsi="Calibri" w:cs="Calibri"/>
          <w:color w:val="365F91"/>
          <w:sz w:val="22"/>
          <w:szCs w:val="22"/>
          <w:lang w:val="es-ES_tradnl"/>
        </w:rPr>
        <w:footnoteReference w:id="5"/>
      </w:r>
    </w:p>
    <w:p w14:paraId="3E328370" w14:textId="77777777" w:rsidR="00B46747" w:rsidRPr="00B46747" w:rsidRDefault="00B46747" w:rsidP="00B46747">
      <w:pPr>
        <w:rPr>
          <w:lang w:val="es-ES_tradnl"/>
        </w:rPr>
      </w:pPr>
    </w:p>
    <w:p w14:paraId="5DA16B0C" w14:textId="7BDD493D" w:rsidR="00445052" w:rsidRPr="009A3DDF" w:rsidRDefault="00780760" w:rsidP="00CE3D00">
      <w:pPr>
        <w:spacing w:line="240" w:lineRule="auto"/>
        <w:jc w:val="both"/>
        <w:rPr>
          <w:rFonts w:cstheme="minorHAnsi"/>
          <w:sz w:val="24"/>
          <w:szCs w:val="24"/>
          <w:lang w:val="es-ES_tradnl"/>
        </w:rPr>
      </w:pPr>
      <w:proofErr w:type="gramStart"/>
      <w:r>
        <w:rPr>
          <w:rFonts w:cstheme="minorHAnsi"/>
          <w:sz w:val="24"/>
          <w:szCs w:val="24"/>
          <w:lang w:val="es-ES_tradnl"/>
        </w:rPr>
        <w:t>A día de hoy</w:t>
      </w:r>
      <w:proofErr w:type="gramEnd"/>
      <w:r>
        <w:rPr>
          <w:rFonts w:cstheme="minorHAnsi"/>
          <w:sz w:val="24"/>
          <w:szCs w:val="24"/>
          <w:lang w:val="es-ES_tradnl"/>
        </w:rPr>
        <w:t>,</w:t>
      </w:r>
      <w:r w:rsidR="00445052" w:rsidRPr="009A3DDF">
        <w:rPr>
          <w:rFonts w:cstheme="minorHAnsi"/>
          <w:sz w:val="24"/>
          <w:szCs w:val="24"/>
          <w:lang w:val="es-ES_tradnl"/>
        </w:rPr>
        <w:t xml:space="preserve"> la mayor parte de los </w:t>
      </w:r>
      <w:r w:rsidR="005369D6" w:rsidRPr="009A3DDF">
        <w:rPr>
          <w:rFonts w:cstheme="minorHAnsi"/>
          <w:sz w:val="24"/>
          <w:szCs w:val="24"/>
          <w:lang w:val="es-ES_tradnl"/>
        </w:rPr>
        <w:t xml:space="preserve">tratamientos farmacológicos requieren tomar </w:t>
      </w:r>
      <w:r w:rsidR="00445052" w:rsidRPr="009A3DDF">
        <w:rPr>
          <w:rFonts w:cstheme="minorHAnsi"/>
          <w:sz w:val="24"/>
          <w:szCs w:val="24"/>
          <w:lang w:val="es-ES_tradnl"/>
        </w:rPr>
        <w:t>comprimidos orales</w:t>
      </w:r>
      <w:r w:rsidR="005369D6" w:rsidRPr="009A3DDF">
        <w:rPr>
          <w:rFonts w:cstheme="minorHAnsi"/>
          <w:sz w:val="24"/>
          <w:szCs w:val="24"/>
          <w:lang w:val="es-ES_tradnl"/>
        </w:rPr>
        <w:t xml:space="preserve"> a diario</w:t>
      </w:r>
      <w:r w:rsidR="00445052" w:rsidRPr="009A3DDF">
        <w:rPr>
          <w:rFonts w:cstheme="minorHAnsi"/>
          <w:sz w:val="24"/>
          <w:szCs w:val="24"/>
          <w:lang w:val="es-ES_tradnl"/>
        </w:rPr>
        <w:t xml:space="preserve">. </w:t>
      </w:r>
      <w:r w:rsidR="00CE6E4E">
        <w:rPr>
          <w:rFonts w:cstheme="minorHAnsi"/>
          <w:sz w:val="24"/>
          <w:szCs w:val="24"/>
          <w:lang w:val="es-ES_tradnl"/>
        </w:rPr>
        <w:t xml:space="preserve">Entre los motivos de la falta de adherencia al tratamiento están el </w:t>
      </w:r>
      <w:r w:rsidR="002C4354" w:rsidRPr="009A3DDF">
        <w:rPr>
          <w:rFonts w:cstheme="minorHAnsi"/>
          <w:sz w:val="24"/>
          <w:szCs w:val="24"/>
          <w:lang w:val="es-ES_tradnl"/>
        </w:rPr>
        <w:t>exceso de</w:t>
      </w:r>
      <w:r w:rsidR="00445052" w:rsidRPr="009A3DDF">
        <w:rPr>
          <w:rFonts w:cstheme="minorHAnsi"/>
          <w:sz w:val="24"/>
          <w:szCs w:val="24"/>
          <w:lang w:val="es-ES_tradnl"/>
        </w:rPr>
        <w:t xml:space="preserve"> comprimido</w:t>
      </w:r>
      <w:r w:rsidR="00CE6E4E">
        <w:rPr>
          <w:rFonts w:cstheme="minorHAnsi"/>
          <w:sz w:val="24"/>
          <w:szCs w:val="24"/>
          <w:lang w:val="es-ES_tradnl"/>
        </w:rPr>
        <w:t xml:space="preserve">s y </w:t>
      </w:r>
      <w:r w:rsidR="00445052" w:rsidRPr="009A3DDF">
        <w:rPr>
          <w:rFonts w:cstheme="minorHAnsi"/>
          <w:sz w:val="24"/>
          <w:szCs w:val="24"/>
          <w:lang w:val="es-ES_tradnl"/>
        </w:rPr>
        <w:t>duración de</w:t>
      </w:r>
      <w:r w:rsidR="00F25711" w:rsidRPr="009A3DDF">
        <w:rPr>
          <w:rFonts w:cstheme="minorHAnsi"/>
          <w:sz w:val="24"/>
          <w:szCs w:val="24"/>
          <w:lang w:val="es-ES_tradnl"/>
        </w:rPr>
        <w:t xml:space="preserve"> </w:t>
      </w:r>
      <w:r w:rsidR="00445052" w:rsidRPr="009A3DDF">
        <w:rPr>
          <w:rFonts w:cstheme="minorHAnsi"/>
          <w:sz w:val="24"/>
          <w:szCs w:val="24"/>
          <w:lang w:val="es-ES_tradnl"/>
        </w:rPr>
        <w:t>l</w:t>
      </w:r>
      <w:r w:rsidR="00F25711" w:rsidRPr="009A3DDF">
        <w:rPr>
          <w:rFonts w:cstheme="minorHAnsi"/>
          <w:sz w:val="24"/>
          <w:szCs w:val="24"/>
          <w:lang w:val="es-ES_tradnl"/>
        </w:rPr>
        <w:t>os</w:t>
      </w:r>
      <w:r w:rsidR="00445052" w:rsidRPr="009A3DDF">
        <w:rPr>
          <w:rFonts w:cstheme="minorHAnsi"/>
          <w:sz w:val="24"/>
          <w:szCs w:val="24"/>
          <w:lang w:val="es-ES_tradnl"/>
        </w:rPr>
        <w:t xml:space="preserve"> tratamiento</w:t>
      </w:r>
      <w:r w:rsidR="00F25711" w:rsidRPr="009A3DDF">
        <w:rPr>
          <w:rFonts w:cstheme="minorHAnsi"/>
          <w:sz w:val="24"/>
          <w:szCs w:val="24"/>
          <w:lang w:val="es-ES_tradnl"/>
        </w:rPr>
        <w:t>s</w:t>
      </w:r>
      <w:r w:rsidR="00445052" w:rsidRPr="009A3DDF">
        <w:rPr>
          <w:rFonts w:cstheme="minorHAnsi"/>
          <w:sz w:val="24"/>
          <w:szCs w:val="24"/>
          <w:lang w:val="es-ES_tradnl"/>
        </w:rPr>
        <w:t xml:space="preserve"> (por ejemplo, </w:t>
      </w:r>
      <w:r w:rsidR="00CE6E4E">
        <w:rPr>
          <w:rFonts w:cstheme="minorHAnsi"/>
          <w:sz w:val="24"/>
          <w:szCs w:val="24"/>
          <w:lang w:val="es-ES_tradnl"/>
        </w:rPr>
        <w:t>la terapia</w:t>
      </w:r>
      <w:r w:rsidR="00445052" w:rsidRPr="009A3DDF">
        <w:rPr>
          <w:rFonts w:cstheme="minorHAnsi"/>
          <w:sz w:val="24"/>
          <w:szCs w:val="24"/>
          <w:lang w:val="es-ES_tradnl"/>
        </w:rPr>
        <w:t xml:space="preserve"> antirretrov</w:t>
      </w:r>
      <w:r w:rsidR="00CE6E4E">
        <w:rPr>
          <w:rFonts w:cstheme="minorHAnsi"/>
          <w:sz w:val="24"/>
          <w:szCs w:val="24"/>
          <w:lang w:val="es-ES_tradnl"/>
        </w:rPr>
        <w:t>iral</w:t>
      </w:r>
      <w:r w:rsidR="00445052" w:rsidRPr="009A3DDF">
        <w:rPr>
          <w:rFonts w:cstheme="minorHAnsi"/>
          <w:sz w:val="24"/>
          <w:szCs w:val="24"/>
          <w:lang w:val="es-ES_tradnl"/>
        </w:rPr>
        <w:t xml:space="preserve"> </w:t>
      </w:r>
      <w:r w:rsidR="00CE6E4E">
        <w:rPr>
          <w:rFonts w:cstheme="minorHAnsi"/>
          <w:sz w:val="24"/>
          <w:szCs w:val="24"/>
          <w:lang w:val="es-ES_tradnl"/>
        </w:rPr>
        <w:t>y</w:t>
      </w:r>
      <w:r w:rsidR="00445052" w:rsidRPr="009A3DDF">
        <w:rPr>
          <w:rFonts w:cstheme="minorHAnsi"/>
          <w:sz w:val="24"/>
          <w:szCs w:val="24"/>
          <w:lang w:val="es-ES_tradnl"/>
        </w:rPr>
        <w:t xml:space="preserve"> la fase de mantenimiento del tratamiento de la tuberculosis </w:t>
      </w:r>
      <w:r w:rsidR="00D421AD" w:rsidRPr="009A3DDF">
        <w:rPr>
          <w:rFonts w:cstheme="minorHAnsi"/>
          <w:sz w:val="24"/>
          <w:szCs w:val="24"/>
          <w:lang w:val="es-ES_tradnl"/>
        </w:rPr>
        <w:lastRenderedPageBreak/>
        <w:t>farmacosensible)</w:t>
      </w:r>
      <w:r w:rsidR="00CE6E4E">
        <w:rPr>
          <w:rFonts w:cstheme="minorHAnsi"/>
          <w:sz w:val="24"/>
          <w:szCs w:val="24"/>
          <w:lang w:val="es-ES_tradnl"/>
        </w:rPr>
        <w:t>. Otras razones son</w:t>
      </w:r>
      <w:r w:rsidR="00445052" w:rsidRPr="009A3DDF">
        <w:rPr>
          <w:rFonts w:cstheme="minorHAnsi"/>
          <w:sz w:val="24"/>
          <w:szCs w:val="24"/>
          <w:lang w:val="es-ES_tradnl"/>
        </w:rPr>
        <w:t xml:space="preserve"> </w:t>
      </w:r>
      <w:r w:rsidR="00F25711" w:rsidRPr="009A3DDF">
        <w:rPr>
          <w:rFonts w:cstheme="minorHAnsi"/>
          <w:sz w:val="24"/>
          <w:szCs w:val="24"/>
          <w:lang w:val="es-ES_tradnl"/>
        </w:rPr>
        <w:t>la</w:t>
      </w:r>
      <w:r w:rsidR="00445052" w:rsidRPr="009A3DDF">
        <w:rPr>
          <w:rFonts w:cstheme="minorHAnsi"/>
          <w:sz w:val="24"/>
          <w:szCs w:val="24"/>
          <w:lang w:val="es-ES_tradnl"/>
        </w:rPr>
        <w:t xml:space="preserve"> estigma</w:t>
      </w:r>
      <w:r w:rsidR="00F25711" w:rsidRPr="009A3DDF">
        <w:rPr>
          <w:rFonts w:cstheme="minorHAnsi"/>
          <w:sz w:val="24"/>
          <w:szCs w:val="24"/>
          <w:lang w:val="es-ES_tradnl"/>
        </w:rPr>
        <w:t>tización</w:t>
      </w:r>
      <w:r w:rsidR="00445052" w:rsidRPr="009A3DDF">
        <w:rPr>
          <w:rFonts w:cstheme="minorHAnsi"/>
          <w:sz w:val="24"/>
          <w:szCs w:val="24"/>
          <w:lang w:val="es-ES_tradnl"/>
        </w:rPr>
        <w:t xml:space="preserve"> (por ejemplo, </w:t>
      </w:r>
      <w:r w:rsidR="00D421AD" w:rsidRPr="009A3DDF">
        <w:rPr>
          <w:rFonts w:cstheme="minorHAnsi"/>
          <w:sz w:val="24"/>
          <w:szCs w:val="24"/>
          <w:lang w:val="es-ES_tradnl"/>
        </w:rPr>
        <w:t>asociad</w:t>
      </w:r>
      <w:r w:rsidR="00CE6E4E">
        <w:rPr>
          <w:rFonts w:cstheme="minorHAnsi"/>
          <w:sz w:val="24"/>
          <w:szCs w:val="24"/>
          <w:lang w:val="es-ES_tradnl"/>
        </w:rPr>
        <w:t xml:space="preserve">a </w:t>
      </w:r>
      <w:r w:rsidR="00D421AD" w:rsidRPr="009A3DDF">
        <w:rPr>
          <w:rFonts w:cstheme="minorHAnsi"/>
          <w:sz w:val="24"/>
          <w:szCs w:val="24"/>
          <w:lang w:val="es-ES_tradnl"/>
        </w:rPr>
        <w:t>al</w:t>
      </w:r>
      <w:r w:rsidR="00445052" w:rsidRPr="009A3DDF">
        <w:rPr>
          <w:rFonts w:cstheme="minorHAnsi"/>
          <w:sz w:val="24"/>
          <w:szCs w:val="24"/>
          <w:lang w:val="es-ES_tradnl"/>
        </w:rPr>
        <w:t xml:space="preserve"> tratamiento de la tuberculosis o </w:t>
      </w:r>
      <w:r w:rsidR="00D421AD" w:rsidRPr="009A3DDF">
        <w:rPr>
          <w:rFonts w:cstheme="minorHAnsi"/>
          <w:sz w:val="24"/>
          <w:szCs w:val="24"/>
          <w:lang w:val="es-ES_tradnl"/>
        </w:rPr>
        <w:t xml:space="preserve">a </w:t>
      </w:r>
      <w:r w:rsidR="00445052" w:rsidRPr="009A3DDF">
        <w:rPr>
          <w:rFonts w:cstheme="minorHAnsi"/>
          <w:sz w:val="24"/>
          <w:szCs w:val="24"/>
          <w:lang w:val="es-ES_tradnl"/>
        </w:rPr>
        <w:t xml:space="preserve">la </w:t>
      </w:r>
      <w:r w:rsidR="00CE6E4E">
        <w:rPr>
          <w:rFonts w:cstheme="minorHAnsi"/>
          <w:sz w:val="24"/>
          <w:szCs w:val="24"/>
          <w:lang w:val="es-ES_tradnl"/>
        </w:rPr>
        <w:t>prevención</w:t>
      </w:r>
      <w:r w:rsidR="00445052" w:rsidRPr="009A3DDF">
        <w:rPr>
          <w:rFonts w:cstheme="minorHAnsi"/>
          <w:sz w:val="24"/>
          <w:szCs w:val="24"/>
          <w:lang w:val="es-ES_tradnl"/>
        </w:rPr>
        <w:t xml:space="preserve"> y </w:t>
      </w:r>
      <w:r w:rsidR="00CE6E4E">
        <w:rPr>
          <w:rFonts w:cstheme="minorHAnsi"/>
          <w:sz w:val="24"/>
          <w:szCs w:val="24"/>
          <w:lang w:val="es-ES_tradnl"/>
        </w:rPr>
        <w:t>t</w:t>
      </w:r>
      <w:r w:rsidR="00445052" w:rsidRPr="009A3DDF">
        <w:rPr>
          <w:rFonts w:cstheme="minorHAnsi"/>
          <w:sz w:val="24"/>
          <w:szCs w:val="24"/>
          <w:lang w:val="es-ES_tradnl"/>
        </w:rPr>
        <w:t>ratamiento de la infección por VIH</w:t>
      </w:r>
      <w:proofErr w:type="gramStart"/>
      <w:r w:rsidR="00445052" w:rsidRPr="009A3DDF">
        <w:rPr>
          <w:rFonts w:cstheme="minorHAnsi"/>
          <w:sz w:val="24"/>
          <w:szCs w:val="24"/>
          <w:lang w:val="es-ES_tradnl"/>
        </w:rPr>
        <w:t>)</w:t>
      </w:r>
      <w:r w:rsidR="00D421AD" w:rsidRPr="009A3DDF">
        <w:rPr>
          <w:rFonts w:cstheme="minorHAnsi"/>
          <w:sz w:val="24"/>
          <w:szCs w:val="24"/>
          <w:lang w:val="es-ES_tradnl"/>
        </w:rPr>
        <w:t xml:space="preserve"> ;</w:t>
      </w:r>
      <w:proofErr w:type="gramEnd"/>
      <w:r w:rsidR="00445052" w:rsidRPr="009A3DDF">
        <w:rPr>
          <w:rFonts w:cstheme="minorHAnsi"/>
          <w:sz w:val="24"/>
          <w:szCs w:val="24"/>
          <w:lang w:val="es-ES_tradnl"/>
        </w:rPr>
        <w:t xml:space="preserve"> </w:t>
      </w:r>
      <w:r w:rsidR="00CE6E4E">
        <w:rPr>
          <w:rFonts w:cstheme="minorHAnsi"/>
          <w:sz w:val="24"/>
          <w:szCs w:val="24"/>
          <w:lang w:val="es-ES_tradnl"/>
        </w:rPr>
        <w:t xml:space="preserve">la falta de acceso a la </w:t>
      </w:r>
      <w:r w:rsidR="00445052" w:rsidRPr="009A3DDF">
        <w:rPr>
          <w:rFonts w:cstheme="minorHAnsi"/>
          <w:sz w:val="24"/>
          <w:szCs w:val="24"/>
          <w:lang w:val="es-ES_tradnl"/>
        </w:rPr>
        <w:t>atención sanitaria</w:t>
      </w:r>
      <w:r w:rsidR="00CE6E4E">
        <w:rPr>
          <w:rFonts w:cstheme="minorHAnsi"/>
          <w:sz w:val="24"/>
          <w:szCs w:val="24"/>
          <w:lang w:val="es-ES_tradnl"/>
        </w:rPr>
        <w:t xml:space="preserve">, que padecen grupos como </w:t>
      </w:r>
      <w:r w:rsidR="00445052" w:rsidRPr="009A3DDF">
        <w:rPr>
          <w:rFonts w:cstheme="minorHAnsi"/>
          <w:sz w:val="24"/>
          <w:szCs w:val="24"/>
          <w:lang w:val="es-ES_tradnl"/>
        </w:rPr>
        <w:t>los usuarios de drogas inyectables que han contraído la hepatitis C</w:t>
      </w:r>
      <w:r w:rsidR="00CE6E4E">
        <w:rPr>
          <w:rFonts w:cstheme="minorHAnsi"/>
          <w:sz w:val="24"/>
          <w:szCs w:val="24"/>
          <w:lang w:val="es-ES_tradnl"/>
        </w:rPr>
        <w:t>; así como</w:t>
      </w:r>
      <w:r w:rsidR="00445052" w:rsidRPr="009A3DDF">
        <w:rPr>
          <w:rFonts w:cstheme="minorHAnsi"/>
          <w:sz w:val="24"/>
          <w:szCs w:val="24"/>
          <w:lang w:val="es-ES_tradnl"/>
        </w:rPr>
        <w:t xml:space="preserve"> </w:t>
      </w:r>
      <w:r w:rsidR="00D421AD" w:rsidRPr="009A3DDF">
        <w:rPr>
          <w:rFonts w:cstheme="minorHAnsi"/>
          <w:sz w:val="24"/>
          <w:szCs w:val="24"/>
          <w:lang w:val="es-ES_tradnl"/>
        </w:rPr>
        <w:t xml:space="preserve">los </w:t>
      </w:r>
      <w:r w:rsidR="00445052" w:rsidRPr="009A3DDF">
        <w:rPr>
          <w:rFonts w:cstheme="minorHAnsi"/>
          <w:sz w:val="24"/>
          <w:szCs w:val="24"/>
          <w:lang w:val="es-ES_tradnl"/>
        </w:rPr>
        <w:t>problemas relacionados co</w:t>
      </w:r>
      <w:r w:rsidR="00D421AD" w:rsidRPr="009A3DDF">
        <w:rPr>
          <w:rFonts w:cstheme="minorHAnsi"/>
          <w:sz w:val="24"/>
          <w:szCs w:val="24"/>
          <w:lang w:val="es-ES_tradnl"/>
        </w:rPr>
        <w:t>n el suministro y los programas</w:t>
      </w:r>
      <w:r w:rsidR="00445052" w:rsidRPr="009A3DDF">
        <w:rPr>
          <w:rFonts w:cstheme="minorHAnsi"/>
          <w:sz w:val="24"/>
          <w:szCs w:val="24"/>
          <w:lang w:val="es-ES_tradnl"/>
        </w:rPr>
        <w:t>. Además, muchas personas que no presentan síntom</w:t>
      </w:r>
      <w:r w:rsidR="00D421AD" w:rsidRPr="009A3DDF">
        <w:rPr>
          <w:rFonts w:cstheme="minorHAnsi"/>
          <w:sz w:val="24"/>
          <w:szCs w:val="24"/>
          <w:lang w:val="es-ES_tradnl"/>
        </w:rPr>
        <w:t xml:space="preserve">as interrumpen su tratamiento (por ejemplo, </w:t>
      </w:r>
      <w:r w:rsidR="00445052" w:rsidRPr="009A3DDF">
        <w:rPr>
          <w:rFonts w:cstheme="minorHAnsi"/>
          <w:sz w:val="24"/>
          <w:szCs w:val="24"/>
          <w:lang w:val="es-ES_tradnl"/>
        </w:rPr>
        <w:t>la profilaxis antipalúdica y antituberculosa, la profilaxis previa a la exposición al VIH y el tratamiento antirretrov</w:t>
      </w:r>
      <w:r w:rsidR="00CE6E4E">
        <w:rPr>
          <w:rFonts w:cstheme="minorHAnsi"/>
          <w:sz w:val="24"/>
          <w:szCs w:val="24"/>
          <w:lang w:val="es-ES_tradnl"/>
        </w:rPr>
        <w:t>iral</w:t>
      </w:r>
      <w:r w:rsidR="00445052" w:rsidRPr="009A3DDF">
        <w:rPr>
          <w:rFonts w:cstheme="minorHAnsi"/>
          <w:sz w:val="24"/>
          <w:szCs w:val="24"/>
          <w:lang w:val="es-ES_tradnl"/>
        </w:rPr>
        <w:t>).</w:t>
      </w:r>
    </w:p>
    <w:p w14:paraId="149491F0" w14:textId="2DB90869" w:rsidR="00445052" w:rsidRPr="009A3DDF" w:rsidRDefault="00445052" w:rsidP="00CE3D00">
      <w:pPr>
        <w:spacing w:line="240" w:lineRule="auto"/>
        <w:jc w:val="both"/>
        <w:rPr>
          <w:rFonts w:cstheme="minorHAnsi"/>
          <w:sz w:val="24"/>
          <w:szCs w:val="24"/>
          <w:lang w:val="es-ES_tradnl"/>
        </w:rPr>
      </w:pPr>
      <w:r w:rsidRPr="009A3DDF">
        <w:rPr>
          <w:rFonts w:cstheme="minorHAnsi"/>
          <w:sz w:val="24"/>
          <w:szCs w:val="24"/>
          <w:lang w:val="es-ES_tradnl"/>
        </w:rPr>
        <w:t>L</w:t>
      </w:r>
      <w:r w:rsidR="00B46747">
        <w:rPr>
          <w:rFonts w:cstheme="minorHAnsi"/>
          <w:sz w:val="24"/>
          <w:szCs w:val="24"/>
          <w:lang w:val="es-ES_tradnl"/>
        </w:rPr>
        <w:t xml:space="preserve">os productos de </w:t>
      </w:r>
      <w:r w:rsidRPr="009A3DDF">
        <w:rPr>
          <w:rFonts w:cstheme="minorHAnsi"/>
          <w:sz w:val="24"/>
          <w:szCs w:val="24"/>
          <w:lang w:val="es-ES_tradnl"/>
        </w:rPr>
        <w:t xml:space="preserve">acción prolongada han revolucionado </w:t>
      </w:r>
      <w:r w:rsidR="00CE6E4E">
        <w:rPr>
          <w:rFonts w:cstheme="minorHAnsi"/>
          <w:sz w:val="24"/>
          <w:szCs w:val="24"/>
          <w:lang w:val="es-ES_tradnl"/>
        </w:rPr>
        <w:t>campos</w:t>
      </w:r>
      <w:r w:rsidRPr="009A3DDF">
        <w:rPr>
          <w:rFonts w:cstheme="minorHAnsi"/>
          <w:sz w:val="24"/>
          <w:szCs w:val="24"/>
          <w:lang w:val="es-ES_tradnl"/>
        </w:rPr>
        <w:t xml:space="preserve"> como el de la esquizofrenia y la anticoncepción, y podrían cambiar drásticamente la respuesta a enfermedades importantes que afectan los países de ingresos </w:t>
      </w:r>
      <w:r w:rsidR="00D421AD" w:rsidRPr="009A3DDF">
        <w:rPr>
          <w:rFonts w:cstheme="minorHAnsi"/>
          <w:sz w:val="24"/>
          <w:szCs w:val="24"/>
          <w:lang w:val="es-ES_tradnl"/>
        </w:rPr>
        <w:t xml:space="preserve">medios y </w:t>
      </w:r>
      <w:r w:rsidRPr="009A3DDF">
        <w:rPr>
          <w:rFonts w:cstheme="minorHAnsi"/>
          <w:sz w:val="24"/>
          <w:szCs w:val="24"/>
          <w:lang w:val="es-ES_tradnl"/>
        </w:rPr>
        <w:t>bajos.</w:t>
      </w:r>
    </w:p>
    <w:p w14:paraId="22AF7137" w14:textId="70D463CE" w:rsidR="00445052" w:rsidRPr="009A3DDF" w:rsidRDefault="00445052" w:rsidP="00CE3D00">
      <w:pPr>
        <w:spacing w:line="240" w:lineRule="auto"/>
        <w:jc w:val="both"/>
        <w:rPr>
          <w:rFonts w:cstheme="minorHAnsi"/>
          <w:sz w:val="24"/>
          <w:szCs w:val="24"/>
          <w:lang w:val="es-ES_tradnl"/>
        </w:rPr>
      </w:pPr>
      <w:r w:rsidRPr="009A3DDF">
        <w:rPr>
          <w:rFonts w:cstheme="minorHAnsi"/>
          <w:sz w:val="24"/>
          <w:szCs w:val="24"/>
          <w:lang w:val="es-ES_tradnl"/>
        </w:rPr>
        <w:t xml:space="preserve">Aunque todavía no han sido autorizados, en </w:t>
      </w:r>
      <w:r w:rsidR="00F63140" w:rsidRPr="009A3DDF">
        <w:rPr>
          <w:rFonts w:cstheme="minorHAnsi"/>
          <w:sz w:val="24"/>
          <w:szCs w:val="24"/>
          <w:lang w:val="es-ES_tradnl"/>
        </w:rPr>
        <w:t xml:space="preserve">consultas </w:t>
      </w:r>
      <w:r w:rsidRPr="009A3DDF">
        <w:rPr>
          <w:rFonts w:cstheme="minorHAnsi"/>
          <w:sz w:val="24"/>
          <w:szCs w:val="24"/>
          <w:lang w:val="es-ES_tradnl"/>
        </w:rPr>
        <w:t>a gran escala</w:t>
      </w:r>
      <w:r w:rsidRPr="009A3DDF">
        <w:rPr>
          <w:rStyle w:val="FootnoteReference"/>
          <w:rFonts w:cstheme="minorHAnsi"/>
          <w:sz w:val="24"/>
          <w:szCs w:val="24"/>
          <w:lang w:val="es-ES_tradnl"/>
        </w:rPr>
        <w:footnoteReference w:id="6"/>
      </w:r>
      <w:r w:rsidRPr="009A3DDF">
        <w:rPr>
          <w:rFonts w:cstheme="minorHAnsi"/>
          <w:sz w:val="24"/>
          <w:szCs w:val="24"/>
          <w:lang w:val="es-ES_tradnl"/>
        </w:rPr>
        <w:t xml:space="preserve"> y </w:t>
      </w:r>
      <w:r w:rsidR="00F63140" w:rsidRPr="009A3DDF">
        <w:rPr>
          <w:rFonts w:cstheme="minorHAnsi"/>
          <w:sz w:val="24"/>
          <w:szCs w:val="24"/>
          <w:lang w:val="es-ES_tradnl"/>
        </w:rPr>
        <w:t xml:space="preserve">estudios </w:t>
      </w:r>
      <w:r w:rsidRPr="009A3DDF">
        <w:rPr>
          <w:rFonts w:cstheme="minorHAnsi"/>
          <w:sz w:val="24"/>
          <w:szCs w:val="24"/>
          <w:lang w:val="es-ES_tradnl"/>
        </w:rPr>
        <w:t>generales</w:t>
      </w:r>
      <w:r w:rsidRPr="009A3DDF">
        <w:rPr>
          <w:rStyle w:val="FootnoteReference"/>
          <w:rFonts w:cstheme="minorHAnsi"/>
          <w:sz w:val="24"/>
          <w:szCs w:val="24"/>
          <w:lang w:val="es-ES_tradnl"/>
        </w:rPr>
        <w:footnoteReference w:id="7"/>
      </w:r>
      <w:r w:rsidRPr="009A3DDF">
        <w:rPr>
          <w:rFonts w:cstheme="minorHAnsi"/>
          <w:sz w:val="24"/>
          <w:szCs w:val="24"/>
          <w:vertAlign w:val="superscript"/>
          <w:lang w:val="es-ES_tradnl"/>
        </w:rPr>
        <w:t>,</w:t>
      </w:r>
      <w:r w:rsidRPr="009A3DDF">
        <w:rPr>
          <w:rStyle w:val="FootnoteReference"/>
          <w:rFonts w:cstheme="minorHAnsi"/>
          <w:sz w:val="24"/>
          <w:szCs w:val="24"/>
          <w:lang w:val="es-ES_tradnl"/>
        </w:rPr>
        <w:footnoteReference w:id="8"/>
      </w:r>
      <w:r w:rsidRPr="009A3DDF">
        <w:rPr>
          <w:rFonts w:cstheme="minorHAnsi"/>
          <w:sz w:val="24"/>
          <w:szCs w:val="24"/>
          <w:vertAlign w:val="superscript"/>
          <w:lang w:val="es-ES_tradnl"/>
        </w:rPr>
        <w:t>,</w:t>
      </w:r>
      <w:r w:rsidRPr="009A3DDF">
        <w:rPr>
          <w:rStyle w:val="FootnoteReference"/>
          <w:rFonts w:cstheme="minorHAnsi"/>
          <w:sz w:val="24"/>
          <w:szCs w:val="24"/>
          <w:lang w:val="es-ES_tradnl"/>
        </w:rPr>
        <w:footnoteReference w:id="9"/>
      </w:r>
      <w:r w:rsidRPr="009A3DDF">
        <w:rPr>
          <w:rFonts w:cstheme="minorHAnsi"/>
          <w:sz w:val="24"/>
          <w:szCs w:val="24"/>
          <w:vertAlign w:val="superscript"/>
          <w:lang w:val="es-ES_tradnl"/>
        </w:rPr>
        <w:t xml:space="preserve"> </w:t>
      </w:r>
      <w:r w:rsidR="00F25711" w:rsidRPr="009A3DDF">
        <w:rPr>
          <w:rFonts w:cstheme="minorHAnsi"/>
          <w:sz w:val="24"/>
          <w:szCs w:val="24"/>
          <w:lang w:val="es-ES_tradnl"/>
        </w:rPr>
        <w:t xml:space="preserve">se ha observado que hay </w:t>
      </w:r>
      <w:r w:rsidRPr="009A3DDF">
        <w:rPr>
          <w:rFonts w:cstheme="minorHAnsi"/>
          <w:sz w:val="24"/>
          <w:szCs w:val="24"/>
          <w:lang w:val="es-ES_tradnl"/>
        </w:rPr>
        <w:t xml:space="preserve">varios </w:t>
      </w:r>
      <w:r w:rsidR="00B46747">
        <w:rPr>
          <w:rFonts w:cstheme="minorHAnsi"/>
          <w:sz w:val="24"/>
          <w:szCs w:val="24"/>
          <w:lang w:val="es-ES_tradnl"/>
        </w:rPr>
        <w:t>productos</w:t>
      </w:r>
      <w:r w:rsidRPr="009A3DDF">
        <w:rPr>
          <w:rFonts w:cstheme="minorHAnsi"/>
          <w:sz w:val="24"/>
          <w:szCs w:val="24"/>
          <w:lang w:val="es-ES_tradnl"/>
        </w:rPr>
        <w:t xml:space="preserve"> de acción prolongada </w:t>
      </w:r>
      <w:r w:rsidR="00D421AD" w:rsidRPr="009A3DDF">
        <w:rPr>
          <w:rFonts w:cstheme="minorHAnsi"/>
          <w:sz w:val="24"/>
          <w:szCs w:val="24"/>
          <w:lang w:val="es-ES_tradnl"/>
        </w:rPr>
        <w:t>en</w:t>
      </w:r>
      <w:r w:rsidRPr="009A3DDF">
        <w:rPr>
          <w:rFonts w:cstheme="minorHAnsi"/>
          <w:sz w:val="24"/>
          <w:szCs w:val="24"/>
          <w:lang w:val="es-ES_tradnl"/>
        </w:rPr>
        <w:t xml:space="preserve"> distintas etapas de desarrollo</w:t>
      </w:r>
      <w:r w:rsidR="00CE6E4E">
        <w:rPr>
          <w:rFonts w:cstheme="minorHAnsi"/>
          <w:sz w:val="24"/>
          <w:szCs w:val="24"/>
          <w:lang w:val="es-ES_tradnl"/>
        </w:rPr>
        <w:t>. Dichos medicamentos</w:t>
      </w:r>
      <w:r w:rsidRPr="009A3DDF">
        <w:rPr>
          <w:rFonts w:cstheme="minorHAnsi"/>
          <w:sz w:val="24"/>
          <w:szCs w:val="24"/>
          <w:lang w:val="es-ES_tradnl"/>
        </w:rPr>
        <w:t xml:space="preserve"> podrían transformar por completo el manejo de </w:t>
      </w:r>
      <w:r w:rsidR="00CE6E4E" w:rsidRPr="009A3DDF">
        <w:rPr>
          <w:rFonts w:cstheme="minorHAnsi"/>
          <w:sz w:val="24"/>
          <w:szCs w:val="24"/>
          <w:lang w:val="es-ES_tradnl"/>
        </w:rPr>
        <w:t>la tuberculosi</w:t>
      </w:r>
      <w:r w:rsidR="00CE6E4E">
        <w:rPr>
          <w:rFonts w:cstheme="minorHAnsi"/>
          <w:sz w:val="24"/>
          <w:szCs w:val="24"/>
          <w:lang w:val="es-ES_tradnl"/>
        </w:rPr>
        <w:t xml:space="preserve">s, </w:t>
      </w:r>
      <w:r w:rsidR="00CE6E4E" w:rsidRPr="009A3DDF">
        <w:rPr>
          <w:rFonts w:cstheme="minorHAnsi"/>
          <w:sz w:val="24"/>
          <w:szCs w:val="24"/>
          <w:lang w:val="es-ES_tradnl"/>
        </w:rPr>
        <w:t>el paludismo,</w:t>
      </w:r>
      <w:r w:rsidR="00CE6E4E">
        <w:rPr>
          <w:rFonts w:cstheme="minorHAnsi"/>
          <w:sz w:val="24"/>
          <w:szCs w:val="24"/>
          <w:lang w:val="es-ES_tradnl"/>
        </w:rPr>
        <w:t xml:space="preserve"> así como</w:t>
      </w:r>
      <w:r w:rsidR="00CE6E4E" w:rsidRPr="009A3DDF">
        <w:rPr>
          <w:rFonts w:cstheme="minorHAnsi"/>
          <w:sz w:val="24"/>
          <w:szCs w:val="24"/>
          <w:lang w:val="es-ES_tradnl"/>
        </w:rPr>
        <w:t xml:space="preserve"> </w:t>
      </w:r>
      <w:r w:rsidRPr="009A3DDF">
        <w:rPr>
          <w:rFonts w:cstheme="minorHAnsi"/>
          <w:sz w:val="24"/>
          <w:szCs w:val="24"/>
          <w:lang w:val="es-ES_tradnl"/>
        </w:rPr>
        <w:t xml:space="preserve">la infección por </w:t>
      </w:r>
      <w:r w:rsidR="00F5500E" w:rsidRPr="009A3DDF">
        <w:rPr>
          <w:rFonts w:cstheme="minorHAnsi"/>
          <w:sz w:val="24"/>
          <w:szCs w:val="24"/>
          <w:lang w:val="es-ES_tradnl"/>
        </w:rPr>
        <w:t>el VIH y sus infecciones y enfermedades concomitantes</w:t>
      </w:r>
      <w:r w:rsidRPr="009A3DDF">
        <w:rPr>
          <w:rFonts w:cstheme="minorHAnsi"/>
          <w:sz w:val="24"/>
          <w:szCs w:val="24"/>
          <w:lang w:val="es-ES_tradnl"/>
        </w:rPr>
        <w:t>, entre otras.</w:t>
      </w:r>
    </w:p>
    <w:p w14:paraId="2D784DA5" w14:textId="565D0D3D" w:rsidR="00A31847" w:rsidRPr="009A3DDF" w:rsidRDefault="00445052" w:rsidP="00CE3D00">
      <w:pPr>
        <w:pStyle w:val="ListParagraph"/>
        <w:spacing w:line="240" w:lineRule="auto"/>
        <w:ind w:left="0"/>
        <w:jc w:val="both"/>
        <w:rPr>
          <w:rFonts w:cstheme="minorHAnsi"/>
          <w:sz w:val="24"/>
          <w:szCs w:val="24"/>
          <w:lang w:val="es-ES_tradnl"/>
        </w:rPr>
      </w:pPr>
      <w:r w:rsidRPr="009A3DDF">
        <w:rPr>
          <w:rFonts w:cstheme="minorHAnsi"/>
          <w:sz w:val="24"/>
          <w:szCs w:val="24"/>
          <w:lang w:val="es-ES_tradnl"/>
        </w:rPr>
        <w:t>Sin embargo</w:t>
      </w:r>
      <w:r w:rsidR="00CE6E4E">
        <w:rPr>
          <w:rFonts w:cstheme="minorHAnsi"/>
          <w:sz w:val="24"/>
          <w:szCs w:val="24"/>
          <w:lang w:val="es-ES_tradnl"/>
        </w:rPr>
        <w:t>,</w:t>
      </w:r>
      <w:r w:rsidRPr="009A3DDF">
        <w:rPr>
          <w:rFonts w:cstheme="minorHAnsi"/>
          <w:sz w:val="24"/>
          <w:szCs w:val="24"/>
          <w:lang w:val="es-ES_tradnl"/>
        </w:rPr>
        <w:t xml:space="preserve"> es muy probable que el uso de estas nuevas tecnologías se retrase considerablemente en los países de ingresos medios y bajos</w:t>
      </w:r>
      <w:r w:rsidR="00CE6E4E">
        <w:rPr>
          <w:rFonts w:cstheme="minorHAnsi"/>
          <w:sz w:val="24"/>
          <w:szCs w:val="24"/>
          <w:lang w:val="es-ES_tradnl"/>
        </w:rPr>
        <w:t xml:space="preserve"> si no se adoptan medidas</w:t>
      </w:r>
      <w:r w:rsidRPr="009A3DDF">
        <w:rPr>
          <w:rFonts w:cstheme="minorHAnsi"/>
          <w:sz w:val="24"/>
          <w:szCs w:val="24"/>
          <w:lang w:val="es-ES_tradnl"/>
        </w:rPr>
        <w:t xml:space="preserve">. Por ello, Unitaid </w:t>
      </w:r>
      <w:r w:rsidR="00CE6E4E">
        <w:rPr>
          <w:rFonts w:cstheme="minorHAnsi"/>
          <w:sz w:val="24"/>
          <w:szCs w:val="24"/>
          <w:lang w:val="es-ES_tradnl"/>
        </w:rPr>
        <w:t>quiere apoyar</w:t>
      </w:r>
      <w:r w:rsidRPr="009A3DDF">
        <w:rPr>
          <w:rFonts w:cstheme="minorHAnsi"/>
          <w:sz w:val="24"/>
          <w:szCs w:val="24"/>
          <w:lang w:val="es-ES_tradnl"/>
        </w:rPr>
        <w:t xml:space="preserve"> intervenciones que </w:t>
      </w:r>
      <w:r w:rsidR="00F63140" w:rsidRPr="009A3DDF">
        <w:rPr>
          <w:rFonts w:cstheme="minorHAnsi"/>
          <w:sz w:val="24"/>
          <w:szCs w:val="24"/>
          <w:lang w:val="es-ES_tradnl"/>
        </w:rPr>
        <w:t>agilicen</w:t>
      </w:r>
      <w:r w:rsidRPr="009A3DDF">
        <w:rPr>
          <w:rFonts w:cstheme="minorHAnsi"/>
          <w:sz w:val="24"/>
          <w:szCs w:val="24"/>
          <w:lang w:val="es-ES_tradnl"/>
        </w:rPr>
        <w:t xml:space="preserve"> el desarrollo de soluciones de acción prolongada</w:t>
      </w:r>
      <w:r w:rsidR="00CE6E4E">
        <w:rPr>
          <w:rFonts w:cstheme="minorHAnsi"/>
          <w:sz w:val="24"/>
          <w:szCs w:val="24"/>
          <w:lang w:val="es-ES_tradnl"/>
        </w:rPr>
        <w:t xml:space="preserve"> –soluciones</w:t>
      </w:r>
      <w:r w:rsidRPr="009A3DDF">
        <w:rPr>
          <w:rFonts w:cstheme="minorHAnsi"/>
          <w:sz w:val="24"/>
          <w:szCs w:val="24"/>
          <w:lang w:val="es-ES_tradnl"/>
        </w:rPr>
        <w:t xml:space="preserve"> que pued</w:t>
      </w:r>
      <w:r w:rsidR="00F63140" w:rsidRPr="009A3DDF">
        <w:rPr>
          <w:rFonts w:cstheme="minorHAnsi"/>
          <w:sz w:val="24"/>
          <w:szCs w:val="24"/>
          <w:lang w:val="es-ES_tradnl"/>
        </w:rPr>
        <w:t>a</w:t>
      </w:r>
      <w:r w:rsidRPr="009A3DDF">
        <w:rPr>
          <w:rFonts w:cstheme="minorHAnsi"/>
          <w:sz w:val="24"/>
          <w:szCs w:val="24"/>
          <w:lang w:val="es-ES_tradnl"/>
        </w:rPr>
        <w:t xml:space="preserve">n </w:t>
      </w:r>
      <w:r w:rsidR="00CE6E4E">
        <w:rPr>
          <w:rFonts w:cstheme="minorHAnsi"/>
          <w:sz w:val="24"/>
          <w:szCs w:val="24"/>
          <w:lang w:val="es-ES_tradnl"/>
        </w:rPr>
        <w:t>suponer</w:t>
      </w:r>
      <w:r w:rsidRPr="009A3DDF">
        <w:rPr>
          <w:rFonts w:cstheme="minorHAnsi"/>
          <w:sz w:val="24"/>
          <w:szCs w:val="24"/>
          <w:lang w:val="es-ES_tradnl"/>
        </w:rPr>
        <w:t xml:space="preserve"> importantes </w:t>
      </w:r>
      <w:r w:rsidR="00CE6E4E">
        <w:rPr>
          <w:rFonts w:cstheme="minorHAnsi"/>
          <w:sz w:val="24"/>
          <w:szCs w:val="24"/>
          <w:lang w:val="es-ES_tradnl"/>
        </w:rPr>
        <w:t xml:space="preserve">avances </w:t>
      </w:r>
      <w:r w:rsidRPr="009A3DDF">
        <w:rPr>
          <w:rFonts w:cstheme="minorHAnsi"/>
          <w:sz w:val="24"/>
          <w:szCs w:val="24"/>
          <w:lang w:val="es-ES_tradnl"/>
        </w:rPr>
        <w:t>para la salud pública mundial</w:t>
      </w:r>
      <w:r w:rsidR="00384624" w:rsidRPr="009A3DDF">
        <w:rPr>
          <w:rFonts w:cstheme="minorHAnsi"/>
          <w:sz w:val="24"/>
          <w:szCs w:val="24"/>
          <w:lang w:val="es-ES_tradnl"/>
        </w:rPr>
        <w:t>.</w:t>
      </w:r>
      <w:r w:rsidR="00F51A5E" w:rsidRPr="009A3DDF">
        <w:rPr>
          <w:rFonts w:cstheme="minorHAnsi"/>
          <w:sz w:val="24"/>
          <w:szCs w:val="24"/>
          <w:lang w:val="es-ES_tradnl"/>
        </w:rPr>
        <w:t xml:space="preserve"> </w:t>
      </w:r>
    </w:p>
    <w:p w14:paraId="7B477DB7" w14:textId="161E59F2" w:rsidR="00FA638C" w:rsidRPr="009A3DDF" w:rsidRDefault="00F25711" w:rsidP="000965F8">
      <w:pPr>
        <w:spacing w:before="240" w:after="225" w:line="240" w:lineRule="auto"/>
        <w:textAlignment w:val="baseline"/>
        <w:outlineLvl w:val="3"/>
        <w:rPr>
          <w:rFonts w:eastAsia="Times New Roman" w:cstheme="minorHAnsi"/>
          <w:b/>
          <w:bCs/>
          <w:color w:val="A6192E"/>
          <w:sz w:val="36"/>
          <w:szCs w:val="36"/>
          <w:lang w:val="es-ES_tradnl" w:eastAsia="en-GB"/>
        </w:rPr>
      </w:pPr>
      <w:r w:rsidRPr="009A3DDF">
        <w:rPr>
          <w:rFonts w:eastAsia="Times New Roman" w:cstheme="minorHAnsi"/>
          <w:b/>
          <w:bCs/>
          <w:color w:val="A6192E"/>
          <w:sz w:val="36"/>
          <w:szCs w:val="36"/>
          <w:lang w:val="es-ES_tradnl" w:eastAsia="en-GB"/>
        </w:rPr>
        <w:t>Ámbito de la convocatoria</w:t>
      </w:r>
      <w:r w:rsidR="00445052" w:rsidRPr="009A3DDF">
        <w:rPr>
          <w:rFonts w:eastAsia="Times New Roman" w:cstheme="minorHAnsi"/>
          <w:b/>
          <w:bCs/>
          <w:color w:val="A6192E"/>
          <w:sz w:val="36"/>
          <w:szCs w:val="36"/>
          <w:lang w:val="es-ES_tradnl" w:eastAsia="en-GB"/>
        </w:rPr>
        <w:t xml:space="preserve"> </w:t>
      </w:r>
    </w:p>
    <w:p w14:paraId="00AEE054" w14:textId="345DEF38" w:rsidR="00672AA7" w:rsidRPr="00955968" w:rsidRDefault="00445052" w:rsidP="00450B76">
      <w:pPr>
        <w:spacing w:line="240" w:lineRule="auto"/>
        <w:jc w:val="both"/>
        <w:rPr>
          <w:rFonts w:cstheme="minorHAnsi"/>
          <w:b/>
          <w:sz w:val="24"/>
          <w:szCs w:val="24"/>
          <w:lang w:val="es-ES_tradnl"/>
        </w:rPr>
      </w:pPr>
      <w:r w:rsidRPr="009A3DDF">
        <w:rPr>
          <w:rFonts w:cstheme="minorHAnsi"/>
          <w:sz w:val="24"/>
          <w:szCs w:val="24"/>
          <w:lang w:val="es-ES_tradnl"/>
        </w:rPr>
        <w:t>En esta convocatoria,</w:t>
      </w:r>
      <w:r w:rsidR="006B19FE" w:rsidRPr="009A3DDF">
        <w:rPr>
          <w:rFonts w:cstheme="minorHAnsi"/>
          <w:sz w:val="24"/>
          <w:szCs w:val="24"/>
          <w:lang w:val="es-ES_tradnl"/>
        </w:rPr>
        <w:t xml:space="preserve"> </w:t>
      </w:r>
      <w:r w:rsidRPr="009A3DDF">
        <w:rPr>
          <w:rFonts w:cstheme="minorHAnsi"/>
          <w:sz w:val="24"/>
          <w:szCs w:val="24"/>
          <w:lang w:val="es-ES_tradnl"/>
        </w:rPr>
        <w:t>Unitaid solicit</w:t>
      </w:r>
      <w:r w:rsidR="00F63140" w:rsidRPr="009A3DDF">
        <w:rPr>
          <w:rFonts w:cstheme="minorHAnsi"/>
          <w:sz w:val="24"/>
          <w:szCs w:val="24"/>
          <w:lang w:val="es-ES_tradnl"/>
        </w:rPr>
        <w:t xml:space="preserve">a que se </w:t>
      </w:r>
      <w:r w:rsidRPr="009A3DDF">
        <w:rPr>
          <w:rFonts w:cstheme="minorHAnsi"/>
          <w:sz w:val="24"/>
          <w:szCs w:val="24"/>
          <w:lang w:val="es-ES_tradnl"/>
        </w:rPr>
        <w:t>presente</w:t>
      </w:r>
      <w:r w:rsidR="00F63140" w:rsidRPr="009A3DDF">
        <w:rPr>
          <w:rFonts w:cstheme="minorHAnsi"/>
          <w:sz w:val="24"/>
          <w:szCs w:val="24"/>
          <w:lang w:val="es-ES_tradnl"/>
        </w:rPr>
        <w:t>n</w:t>
      </w:r>
      <w:r w:rsidRPr="009A3DDF">
        <w:rPr>
          <w:rFonts w:cstheme="minorHAnsi"/>
          <w:sz w:val="24"/>
          <w:szCs w:val="24"/>
          <w:lang w:val="es-ES_tradnl"/>
        </w:rPr>
        <w:t xml:space="preserve"> propuestas </w:t>
      </w:r>
      <w:r w:rsidR="00CE6E4E">
        <w:rPr>
          <w:rFonts w:cstheme="minorHAnsi"/>
          <w:sz w:val="24"/>
          <w:szCs w:val="24"/>
          <w:lang w:val="es-ES_tradnl"/>
        </w:rPr>
        <w:t>de desarrollo de</w:t>
      </w:r>
      <w:r w:rsidRPr="009A3DDF">
        <w:rPr>
          <w:rFonts w:cstheme="minorHAnsi"/>
          <w:sz w:val="24"/>
          <w:szCs w:val="24"/>
          <w:lang w:val="es-ES_tradnl"/>
        </w:rPr>
        <w:t xml:space="preserve"> </w:t>
      </w:r>
      <w:r w:rsidR="00B46747">
        <w:rPr>
          <w:rFonts w:cstheme="minorHAnsi"/>
          <w:sz w:val="24"/>
          <w:szCs w:val="24"/>
          <w:lang w:val="es-ES_tradnl"/>
        </w:rPr>
        <w:t>productos</w:t>
      </w:r>
      <w:r w:rsidRPr="009A3DDF">
        <w:rPr>
          <w:rFonts w:cstheme="minorHAnsi"/>
          <w:sz w:val="24"/>
          <w:szCs w:val="24"/>
          <w:lang w:val="es-ES_tradnl"/>
        </w:rPr>
        <w:t xml:space="preserve"> de acción prolongada </w:t>
      </w:r>
      <w:r w:rsidR="00CE6E4E">
        <w:rPr>
          <w:rFonts w:cstheme="minorHAnsi"/>
          <w:sz w:val="24"/>
          <w:szCs w:val="24"/>
          <w:lang w:val="es-ES_tradnl"/>
        </w:rPr>
        <w:t>para</w:t>
      </w:r>
      <w:r w:rsidRPr="009A3DDF">
        <w:rPr>
          <w:rFonts w:cstheme="minorHAnsi"/>
          <w:sz w:val="24"/>
          <w:szCs w:val="24"/>
          <w:lang w:val="es-ES_tradnl"/>
        </w:rPr>
        <w:t xml:space="preserve"> </w:t>
      </w:r>
      <w:r w:rsidRPr="009A3DDF">
        <w:rPr>
          <w:rFonts w:cstheme="minorHAnsi"/>
          <w:b/>
          <w:sz w:val="24"/>
          <w:szCs w:val="24"/>
          <w:lang w:val="es-ES_tradnl"/>
        </w:rPr>
        <w:t xml:space="preserve">tratar y/o </w:t>
      </w:r>
      <w:r w:rsidR="00F63140" w:rsidRPr="009A3DDF">
        <w:rPr>
          <w:rFonts w:cstheme="minorHAnsi"/>
          <w:b/>
          <w:sz w:val="24"/>
          <w:szCs w:val="24"/>
          <w:lang w:val="es-ES_tradnl"/>
        </w:rPr>
        <w:t>prevenir enfermedades que afect</w:t>
      </w:r>
      <w:r w:rsidR="00CE6E4E">
        <w:rPr>
          <w:rFonts w:cstheme="minorHAnsi"/>
          <w:b/>
          <w:sz w:val="24"/>
          <w:szCs w:val="24"/>
          <w:lang w:val="es-ES_tradnl"/>
        </w:rPr>
        <w:t>a</w:t>
      </w:r>
      <w:r w:rsidRPr="009A3DDF">
        <w:rPr>
          <w:rFonts w:cstheme="minorHAnsi"/>
          <w:b/>
          <w:sz w:val="24"/>
          <w:szCs w:val="24"/>
          <w:lang w:val="es-ES_tradnl"/>
        </w:rPr>
        <w:t xml:space="preserve">n </w:t>
      </w:r>
      <w:r w:rsidR="00F63140" w:rsidRPr="009A3DDF">
        <w:rPr>
          <w:rFonts w:cstheme="minorHAnsi"/>
          <w:b/>
          <w:sz w:val="24"/>
          <w:szCs w:val="24"/>
          <w:lang w:val="es-ES_tradnl"/>
        </w:rPr>
        <w:t>a</w:t>
      </w:r>
      <w:r w:rsidRPr="009A3DDF">
        <w:rPr>
          <w:rFonts w:cstheme="minorHAnsi"/>
          <w:b/>
          <w:sz w:val="24"/>
          <w:szCs w:val="24"/>
          <w:lang w:val="es-ES_tradnl"/>
        </w:rPr>
        <w:t xml:space="preserve"> países de </w:t>
      </w:r>
      <w:r w:rsidR="001E7515" w:rsidRPr="009A3DDF">
        <w:rPr>
          <w:rFonts w:cstheme="minorHAnsi"/>
          <w:b/>
          <w:sz w:val="24"/>
          <w:szCs w:val="24"/>
          <w:lang w:val="es-ES_tradnl"/>
        </w:rPr>
        <w:t>ingresos</w:t>
      </w:r>
      <w:r w:rsidRPr="009A3DDF">
        <w:rPr>
          <w:rFonts w:cstheme="minorHAnsi"/>
          <w:b/>
          <w:sz w:val="24"/>
          <w:szCs w:val="24"/>
          <w:lang w:val="es-ES_tradnl"/>
        </w:rPr>
        <w:t xml:space="preserve"> medios y bajos </w:t>
      </w:r>
      <w:r w:rsidR="00955968">
        <w:rPr>
          <w:rFonts w:cstheme="minorHAnsi"/>
          <w:b/>
          <w:sz w:val="24"/>
          <w:szCs w:val="24"/>
          <w:lang w:val="es-ES_tradnl"/>
        </w:rPr>
        <w:t>–</w:t>
      </w:r>
      <w:r w:rsidRPr="009A3DDF">
        <w:rPr>
          <w:rFonts w:cstheme="minorHAnsi"/>
          <w:b/>
          <w:sz w:val="24"/>
          <w:szCs w:val="24"/>
          <w:lang w:val="es-ES_tradnl"/>
        </w:rPr>
        <w:t xml:space="preserve">en especial la infección por </w:t>
      </w:r>
      <w:r w:rsidR="00F5500E" w:rsidRPr="009A3DDF">
        <w:rPr>
          <w:rFonts w:cstheme="minorHAnsi"/>
          <w:b/>
          <w:sz w:val="24"/>
          <w:szCs w:val="24"/>
          <w:lang w:val="es-ES_tradnl"/>
        </w:rPr>
        <w:t>el VIH y sus infecciones y enfermedades concomitantes</w:t>
      </w:r>
      <w:r w:rsidRPr="009A3DDF">
        <w:rPr>
          <w:rFonts w:cstheme="minorHAnsi"/>
          <w:b/>
          <w:sz w:val="24"/>
          <w:szCs w:val="24"/>
          <w:lang w:val="es-ES_tradnl"/>
        </w:rPr>
        <w:t>, la tuberculosis y el paludismo</w:t>
      </w:r>
      <w:r w:rsidR="00955968">
        <w:rPr>
          <w:rFonts w:cstheme="minorHAnsi"/>
          <w:b/>
          <w:sz w:val="24"/>
          <w:szCs w:val="24"/>
          <w:lang w:val="es-ES_tradnl"/>
        </w:rPr>
        <w:t>—</w:t>
      </w:r>
      <w:r w:rsidRPr="009A3DDF">
        <w:rPr>
          <w:rFonts w:cstheme="minorHAnsi"/>
          <w:b/>
          <w:sz w:val="24"/>
          <w:szCs w:val="24"/>
          <w:lang w:val="es-ES_tradnl"/>
        </w:rPr>
        <w:t xml:space="preserve"> y</w:t>
      </w:r>
      <w:r w:rsidR="00791D75" w:rsidRPr="009A3DDF">
        <w:rPr>
          <w:rFonts w:cstheme="minorHAnsi"/>
          <w:b/>
          <w:sz w:val="24"/>
          <w:szCs w:val="24"/>
          <w:lang w:val="es-ES_tradnl"/>
        </w:rPr>
        <w:t xml:space="preserve"> que consideren</w:t>
      </w:r>
      <w:r w:rsidRPr="009A3DDF">
        <w:rPr>
          <w:rFonts w:cstheme="minorHAnsi"/>
          <w:b/>
          <w:sz w:val="24"/>
          <w:szCs w:val="24"/>
          <w:lang w:val="es-ES_tradnl"/>
        </w:rPr>
        <w:t xml:space="preserve">, </w:t>
      </w:r>
      <w:r w:rsidR="00450B76" w:rsidRPr="009A3DDF">
        <w:rPr>
          <w:rFonts w:cstheme="minorHAnsi"/>
          <w:b/>
          <w:sz w:val="24"/>
          <w:szCs w:val="24"/>
          <w:lang w:val="es-ES_tradnl"/>
        </w:rPr>
        <w:t>de forma general, la lucha contra la resistencia a los antimicrobianos</w:t>
      </w:r>
      <w:r w:rsidR="00450B76" w:rsidRPr="009A3DDF">
        <w:rPr>
          <w:rFonts w:cstheme="minorHAnsi"/>
          <w:sz w:val="24"/>
          <w:szCs w:val="24"/>
          <w:lang w:val="es-ES_tradnl"/>
        </w:rPr>
        <w:t xml:space="preserve">. Las </w:t>
      </w:r>
      <w:r w:rsidRPr="009A3DDF">
        <w:rPr>
          <w:rFonts w:cstheme="minorHAnsi"/>
          <w:sz w:val="24"/>
          <w:szCs w:val="24"/>
          <w:lang w:val="es-ES_tradnl"/>
        </w:rPr>
        <w:t xml:space="preserve">convocatorias deben constar </w:t>
      </w:r>
      <w:r w:rsidR="00F63140" w:rsidRPr="009A3DDF">
        <w:rPr>
          <w:rFonts w:cstheme="minorHAnsi"/>
          <w:sz w:val="24"/>
          <w:szCs w:val="24"/>
          <w:lang w:val="es-ES_tradnl"/>
        </w:rPr>
        <w:t xml:space="preserve">de </w:t>
      </w:r>
      <w:r w:rsidRPr="009A3DDF">
        <w:rPr>
          <w:rFonts w:cstheme="minorHAnsi"/>
          <w:sz w:val="24"/>
          <w:szCs w:val="24"/>
          <w:lang w:val="es-ES_tradnl"/>
        </w:rPr>
        <w:t>los siguientes</w:t>
      </w:r>
      <w:r w:rsidR="00F63140" w:rsidRPr="009A3DDF">
        <w:rPr>
          <w:rFonts w:cstheme="minorHAnsi"/>
          <w:sz w:val="24"/>
          <w:szCs w:val="24"/>
          <w:lang w:val="es-ES_tradnl"/>
        </w:rPr>
        <w:t xml:space="preserve"> elementos</w:t>
      </w:r>
      <w:r w:rsidR="00672AA7" w:rsidRPr="009A3DDF">
        <w:rPr>
          <w:rFonts w:cstheme="minorHAnsi"/>
          <w:sz w:val="24"/>
          <w:szCs w:val="24"/>
          <w:lang w:val="es-ES_tradnl"/>
        </w:rPr>
        <w:t>:</w:t>
      </w:r>
    </w:p>
    <w:p w14:paraId="2EA5BE62" w14:textId="57A40306" w:rsidR="007812D1" w:rsidRDefault="00AC35F5" w:rsidP="00CE6E4E">
      <w:pPr>
        <w:pStyle w:val="ListParagraph"/>
        <w:numPr>
          <w:ilvl w:val="0"/>
          <w:numId w:val="11"/>
        </w:numPr>
        <w:spacing w:after="240" w:line="240" w:lineRule="auto"/>
        <w:contextualSpacing w:val="0"/>
        <w:jc w:val="both"/>
        <w:rPr>
          <w:rFonts w:cstheme="minorHAnsi"/>
          <w:b/>
          <w:sz w:val="24"/>
          <w:szCs w:val="24"/>
          <w:lang w:val="es-ES_tradnl"/>
        </w:rPr>
      </w:pPr>
      <w:r>
        <w:rPr>
          <w:rFonts w:cstheme="minorHAnsi"/>
          <w:b/>
          <w:sz w:val="24"/>
          <w:szCs w:val="24"/>
          <w:lang w:val="es-ES_tradnl"/>
        </w:rPr>
        <w:t>La transformación de</w:t>
      </w:r>
      <w:r w:rsidR="00445052" w:rsidRPr="009A3DDF">
        <w:rPr>
          <w:rFonts w:cstheme="minorHAnsi"/>
          <w:b/>
          <w:sz w:val="24"/>
          <w:szCs w:val="24"/>
          <w:lang w:val="es-ES_tradnl"/>
        </w:rPr>
        <w:t xml:space="preserve"> medicamentos </w:t>
      </w:r>
      <w:r>
        <w:rPr>
          <w:rFonts w:cstheme="minorHAnsi"/>
          <w:b/>
          <w:sz w:val="24"/>
          <w:szCs w:val="24"/>
          <w:lang w:val="es-ES_tradnl"/>
        </w:rPr>
        <w:t xml:space="preserve">de </w:t>
      </w:r>
      <w:r w:rsidR="00445052" w:rsidRPr="009A3DDF">
        <w:rPr>
          <w:rFonts w:cstheme="minorHAnsi"/>
          <w:b/>
          <w:sz w:val="24"/>
          <w:szCs w:val="24"/>
          <w:lang w:val="es-ES_tradnl"/>
        </w:rPr>
        <w:t xml:space="preserve">referencia </w:t>
      </w:r>
      <w:r>
        <w:rPr>
          <w:rFonts w:cstheme="minorHAnsi"/>
          <w:b/>
          <w:sz w:val="24"/>
          <w:szCs w:val="24"/>
          <w:lang w:val="es-ES_tradnl"/>
        </w:rPr>
        <w:t xml:space="preserve">importantes en </w:t>
      </w:r>
      <w:r w:rsidR="00445052" w:rsidRPr="009A3DDF">
        <w:rPr>
          <w:rFonts w:cstheme="minorHAnsi"/>
          <w:b/>
          <w:sz w:val="24"/>
          <w:szCs w:val="24"/>
          <w:lang w:val="es-ES_tradnl"/>
        </w:rPr>
        <w:t>productos de acción prolongada</w:t>
      </w:r>
      <w:r w:rsidR="000A2437" w:rsidRPr="009A3DDF">
        <w:rPr>
          <w:rFonts w:cstheme="minorHAnsi"/>
          <w:b/>
          <w:sz w:val="24"/>
          <w:szCs w:val="24"/>
          <w:lang w:val="es-ES_tradnl"/>
        </w:rPr>
        <w:t>;</w:t>
      </w:r>
    </w:p>
    <w:p w14:paraId="4A14D1A0" w14:textId="30AD8816" w:rsidR="00AC35F5" w:rsidRPr="00AC35F5" w:rsidRDefault="00AC35F5" w:rsidP="00AC35F5">
      <w:pPr>
        <w:spacing w:after="240" w:line="240" w:lineRule="auto"/>
        <w:ind w:left="360"/>
        <w:rPr>
          <w:rFonts w:cstheme="minorHAnsi"/>
          <w:b/>
          <w:sz w:val="24"/>
          <w:szCs w:val="24"/>
          <w:lang w:val="es-ES_tradnl"/>
        </w:rPr>
      </w:pPr>
      <w:r>
        <w:rPr>
          <w:rFonts w:cstheme="minorHAnsi"/>
          <w:b/>
          <w:sz w:val="24"/>
          <w:szCs w:val="24"/>
          <w:lang w:val="es-ES_tradnl"/>
        </w:rPr>
        <w:t xml:space="preserve">      </w:t>
      </w:r>
      <w:r w:rsidRPr="00AC35F5">
        <w:rPr>
          <w:rFonts w:cstheme="minorHAnsi"/>
          <w:b/>
          <w:sz w:val="24"/>
          <w:szCs w:val="24"/>
          <w:lang w:val="es-ES_tradnl"/>
        </w:rPr>
        <w:t>Y</w:t>
      </w:r>
    </w:p>
    <w:p w14:paraId="27858960" w14:textId="55EA0EEF" w:rsidR="007812D1" w:rsidRPr="009A3DDF" w:rsidRDefault="00F63140" w:rsidP="00450B76">
      <w:pPr>
        <w:pStyle w:val="ListParagraph"/>
        <w:numPr>
          <w:ilvl w:val="0"/>
          <w:numId w:val="11"/>
        </w:numPr>
        <w:spacing w:after="0" w:line="240" w:lineRule="auto"/>
        <w:jc w:val="both"/>
        <w:rPr>
          <w:rFonts w:cstheme="minorHAnsi"/>
          <w:bCs/>
          <w:sz w:val="24"/>
          <w:szCs w:val="24"/>
          <w:lang w:val="es-ES_tradnl"/>
        </w:rPr>
      </w:pPr>
      <w:r w:rsidRPr="009A3DDF">
        <w:rPr>
          <w:rFonts w:cstheme="minorHAnsi"/>
          <w:b/>
          <w:sz w:val="24"/>
          <w:szCs w:val="24"/>
          <w:lang w:val="es-ES_tradnl"/>
        </w:rPr>
        <w:t xml:space="preserve">el </w:t>
      </w:r>
      <w:r w:rsidR="00445052" w:rsidRPr="009A3DDF">
        <w:rPr>
          <w:rFonts w:cstheme="minorHAnsi"/>
          <w:b/>
          <w:sz w:val="24"/>
          <w:szCs w:val="24"/>
          <w:lang w:val="es-ES_tradnl"/>
        </w:rPr>
        <w:t xml:space="preserve">favorecimiento de la comercialización </w:t>
      </w:r>
      <w:r w:rsidR="00955968">
        <w:rPr>
          <w:rFonts w:cstheme="minorHAnsi"/>
          <w:b/>
          <w:sz w:val="24"/>
          <w:szCs w:val="24"/>
          <w:lang w:val="es-ES_tradnl"/>
        </w:rPr>
        <w:t xml:space="preserve">de </w:t>
      </w:r>
      <w:r w:rsidR="00445052" w:rsidRPr="009A3DDF">
        <w:rPr>
          <w:rFonts w:cstheme="minorHAnsi"/>
          <w:b/>
          <w:sz w:val="24"/>
          <w:szCs w:val="24"/>
          <w:lang w:val="es-ES_tradnl"/>
        </w:rPr>
        <w:t xml:space="preserve">los productos resultantes, a fin de </w:t>
      </w:r>
      <w:r w:rsidR="00450B76" w:rsidRPr="009A3DDF">
        <w:rPr>
          <w:rFonts w:cstheme="minorHAnsi"/>
          <w:b/>
          <w:sz w:val="24"/>
          <w:szCs w:val="24"/>
          <w:lang w:val="es-ES_tradnl"/>
        </w:rPr>
        <w:t>facilitar</w:t>
      </w:r>
      <w:r w:rsidR="00445052" w:rsidRPr="009A3DDF">
        <w:rPr>
          <w:rFonts w:cstheme="minorHAnsi"/>
          <w:b/>
          <w:sz w:val="24"/>
          <w:szCs w:val="24"/>
          <w:lang w:val="es-ES_tradnl"/>
        </w:rPr>
        <w:t xml:space="preserve"> su utilización a la escala necesaria en países de ing</w:t>
      </w:r>
      <w:r w:rsidRPr="009A3DDF">
        <w:rPr>
          <w:rFonts w:cstheme="minorHAnsi"/>
          <w:b/>
          <w:sz w:val="24"/>
          <w:szCs w:val="24"/>
          <w:lang w:val="es-ES_tradnl"/>
        </w:rPr>
        <w:t>resos medi</w:t>
      </w:r>
      <w:r w:rsidR="00445052" w:rsidRPr="009A3DDF">
        <w:rPr>
          <w:rFonts w:cstheme="minorHAnsi"/>
          <w:b/>
          <w:sz w:val="24"/>
          <w:szCs w:val="24"/>
          <w:lang w:val="es-ES_tradnl"/>
        </w:rPr>
        <w:t>os y bajos</w:t>
      </w:r>
      <w:r w:rsidR="00445052" w:rsidRPr="009A3DDF">
        <w:rPr>
          <w:rFonts w:cstheme="minorHAnsi"/>
          <w:sz w:val="24"/>
          <w:szCs w:val="24"/>
          <w:lang w:val="es-ES_tradnl"/>
        </w:rPr>
        <w:t xml:space="preserve">. </w:t>
      </w:r>
      <w:r w:rsidR="00DA351E" w:rsidRPr="009A3DDF">
        <w:rPr>
          <w:rFonts w:cstheme="minorHAnsi"/>
          <w:sz w:val="24"/>
          <w:szCs w:val="24"/>
          <w:lang w:val="es-ES_tradnl"/>
        </w:rPr>
        <w:t>Se</w:t>
      </w:r>
      <w:r w:rsidR="00445052" w:rsidRPr="009A3DDF">
        <w:rPr>
          <w:rFonts w:cstheme="minorHAnsi"/>
          <w:sz w:val="24"/>
          <w:szCs w:val="24"/>
          <w:lang w:val="es-ES_tradnl"/>
        </w:rPr>
        <w:t xml:space="preserve"> tendrá</w:t>
      </w:r>
      <w:r w:rsidRPr="009A3DDF">
        <w:rPr>
          <w:rFonts w:cstheme="minorHAnsi"/>
          <w:sz w:val="24"/>
          <w:szCs w:val="24"/>
          <w:lang w:val="es-ES_tradnl"/>
        </w:rPr>
        <w:t>n</w:t>
      </w:r>
      <w:r w:rsidR="00445052" w:rsidRPr="009A3DDF">
        <w:rPr>
          <w:rFonts w:cstheme="minorHAnsi"/>
          <w:sz w:val="24"/>
          <w:szCs w:val="24"/>
          <w:lang w:val="es-ES_tradnl"/>
        </w:rPr>
        <w:t xml:space="preserve"> en cuenta</w:t>
      </w:r>
      <w:r w:rsidRPr="009A3DDF">
        <w:rPr>
          <w:rFonts w:cstheme="minorHAnsi"/>
          <w:sz w:val="24"/>
          <w:szCs w:val="24"/>
          <w:lang w:val="es-ES_tradnl"/>
        </w:rPr>
        <w:t>:</w:t>
      </w:r>
      <w:r w:rsidR="00445052" w:rsidRPr="009A3DDF">
        <w:rPr>
          <w:rFonts w:cstheme="minorHAnsi"/>
          <w:sz w:val="24"/>
          <w:szCs w:val="24"/>
          <w:lang w:val="es-ES_tradnl"/>
        </w:rPr>
        <w:t xml:space="preserve"> </w:t>
      </w:r>
      <w:r w:rsidRPr="009A3DDF">
        <w:rPr>
          <w:rFonts w:cstheme="minorHAnsi"/>
          <w:sz w:val="24"/>
          <w:szCs w:val="24"/>
          <w:lang w:val="es-ES_tradnl"/>
        </w:rPr>
        <w:t xml:space="preserve">una </w:t>
      </w:r>
      <w:r w:rsidR="00445052" w:rsidRPr="009A3DDF">
        <w:rPr>
          <w:rFonts w:cstheme="minorHAnsi"/>
          <w:sz w:val="24"/>
          <w:szCs w:val="24"/>
          <w:lang w:val="es-ES_tradnl"/>
        </w:rPr>
        <w:t xml:space="preserve">capacidad de producción </w:t>
      </w:r>
      <w:r w:rsidR="00DA351E" w:rsidRPr="009A3DDF">
        <w:rPr>
          <w:rFonts w:cstheme="minorHAnsi"/>
          <w:sz w:val="24"/>
          <w:szCs w:val="24"/>
          <w:lang w:val="es-ES_tradnl"/>
        </w:rPr>
        <w:t>suficiente</w:t>
      </w:r>
      <w:r w:rsidR="00445052" w:rsidRPr="009A3DDF">
        <w:rPr>
          <w:rFonts w:cstheme="minorHAnsi"/>
          <w:sz w:val="24"/>
          <w:szCs w:val="24"/>
          <w:lang w:val="es-ES_tradnl"/>
        </w:rPr>
        <w:t xml:space="preserve"> y con control de calidad, </w:t>
      </w:r>
      <w:r w:rsidR="00445052" w:rsidRPr="009A3DDF">
        <w:rPr>
          <w:rFonts w:cstheme="minorHAnsi"/>
          <w:sz w:val="24"/>
          <w:szCs w:val="24"/>
          <w:lang w:val="es-ES_tradnl"/>
        </w:rPr>
        <w:lastRenderedPageBreak/>
        <w:t>la estrategia normativa pa</w:t>
      </w:r>
      <w:r w:rsidR="002D6122" w:rsidRPr="009A3DDF">
        <w:rPr>
          <w:rFonts w:cstheme="minorHAnsi"/>
          <w:sz w:val="24"/>
          <w:szCs w:val="24"/>
          <w:lang w:val="es-ES_tradnl"/>
        </w:rPr>
        <w:t>ra los países de ingresos medi</w:t>
      </w:r>
      <w:r w:rsidR="00445052" w:rsidRPr="009A3DDF">
        <w:rPr>
          <w:rFonts w:cstheme="minorHAnsi"/>
          <w:sz w:val="24"/>
          <w:szCs w:val="24"/>
          <w:lang w:val="es-ES_tradnl"/>
        </w:rPr>
        <w:t xml:space="preserve">os y bajos, y las estrategias de </w:t>
      </w:r>
      <w:r w:rsidR="00DA351E" w:rsidRPr="009A3DDF">
        <w:rPr>
          <w:rFonts w:cstheme="minorHAnsi"/>
          <w:sz w:val="24"/>
          <w:szCs w:val="24"/>
          <w:lang w:val="es-ES_tradnl"/>
        </w:rPr>
        <w:t>homologación</w:t>
      </w:r>
      <w:r w:rsidR="00445052" w:rsidRPr="009A3DDF">
        <w:rPr>
          <w:rFonts w:cstheme="minorHAnsi"/>
          <w:sz w:val="24"/>
          <w:szCs w:val="24"/>
          <w:lang w:val="es-ES_tradnl"/>
        </w:rPr>
        <w:t xml:space="preserve"> y de establecimiento de precios que facilite</w:t>
      </w:r>
      <w:r w:rsidRPr="009A3DDF">
        <w:rPr>
          <w:rFonts w:cstheme="minorHAnsi"/>
          <w:sz w:val="24"/>
          <w:szCs w:val="24"/>
          <w:lang w:val="es-ES_tradnl"/>
        </w:rPr>
        <w:t>n</w:t>
      </w:r>
      <w:r w:rsidR="00445052" w:rsidRPr="009A3DDF">
        <w:rPr>
          <w:rFonts w:cstheme="minorHAnsi"/>
          <w:sz w:val="24"/>
          <w:szCs w:val="24"/>
          <w:lang w:val="es-ES_tradnl"/>
        </w:rPr>
        <w:t xml:space="preserve"> su introducción y el acceso generalizado en estos países</w:t>
      </w:r>
      <w:r w:rsidR="00C269EB" w:rsidRPr="009A3DDF">
        <w:rPr>
          <w:rFonts w:cstheme="minorHAnsi"/>
          <w:bCs/>
          <w:sz w:val="24"/>
          <w:szCs w:val="24"/>
          <w:lang w:val="es-ES_tradnl"/>
        </w:rPr>
        <w:t xml:space="preserve">. </w:t>
      </w:r>
    </w:p>
    <w:p w14:paraId="48F3DE33" w14:textId="77777777" w:rsidR="007812D1" w:rsidRPr="009A3DDF" w:rsidRDefault="007812D1" w:rsidP="00450B76">
      <w:pPr>
        <w:spacing w:after="0" w:line="240" w:lineRule="auto"/>
        <w:jc w:val="both"/>
        <w:rPr>
          <w:rFonts w:cstheme="minorHAnsi"/>
          <w:bCs/>
          <w:sz w:val="24"/>
          <w:szCs w:val="24"/>
          <w:lang w:val="es-ES_tradnl"/>
        </w:rPr>
      </w:pPr>
    </w:p>
    <w:p w14:paraId="149B7417" w14:textId="2F658D5C" w:rsidR="00445052" w:rsidRPr="009A3DDF" w:rsidRDefault="00445052" w:rsidP="00CE3D00">
      <w:pPr>
        <w:spacing w:line="240" w:lineRule="auto"/>
        <w:jc w:val="both"/>
        <w:rPr>
          <w:rFonts w:cstheme="minorHAnsi"/>
          <w:sz w:val="24"/>
          <w:szCs w:val="24"/>
          <w:lang w:val="es-ES_tradnl"/>
        </w:rPr>
      </w:pPr>
      <w:r w:rsidRPr="009A3DDF">
        <w:rPr>
          <w:rFonts w:cstheme="minorHAnsi"/>
          <w:sz w:val="24"/>
          <w:szCs w:val="24"/>
          <w:lang w:val="es-ES_tradnl"/>
        </w:rPr>
        <w:t>En las candidaturas se debe</w:t>
      </w:r>
      <w:r w:rsidR="00F63140" w:rsidRPr="009A3DDF">
        <w:rPr>
          <w:rFonts w:cstheme="minorHAnsi"/>
          <w:sz w:val="24"/>
          <w:szCs w:val="24"/>
          <w:lang w:val="es-ES_tradnl"/>
        </w:rPr>
        <w:t>rá</w:t>
      </w:r>
      <w:r w:rsidRPr="009A3DDF">
        <w:rPr>
          <w:rFonts w:cstheme="minorHAnsi"/>
          <w:sz w:val="24"/>
          <w:szCs w:val="24"/>
          <w:lang w:val="es-ES_tradnl"/>
        </w:rPr>
        <w:t xml:space="preserve"> </w:t>
      </w:r>
      <w:r w:rsidR="00DA351E" w:rsidRPr="009A3DDF">
        <w:rPr>
          <w:rFonts w:cstheme="minorHAnsi"/>
          <w:sz w:val="24"/>
          <w:szCs w:val="24"/>
          <w:lang w:val="es-ES_tradnl"/>
        </w:rPr>
        <w:t>de</w:t>
      </w:r>
      <w:r w:rsidRPr="009A3DDF">
        <w:rPr>
          <w:rFonts w:cstheme="minorHAnsi"/>
          <w:sz w:val="24"/>
          <w:szCs w:val="24"/>
          <w:lang w:val="es-ES_tradnl"/>
        </w:rPr>
        <w:t xml:space="preserve">mostrar claramente que la propuesta cumple los objetivos expuestos </w:t>
      </w:r>
      <w:r w:rsidR="00955968">
        <w:rPr>
          <w:rFonts w:cstheme="minorHAnsi"/>
          <w:sz w:val="24"/>
          <w:szCs w:val="24"/>
          <w:lang w:val="es-ES_tradnl"/>
        </w:rPr>
        <w:t xml:space="preserve">con anterioridad; </w:t>
      </w:r>
      <w:r w:rsidRPr="009A3DDF">
        <w:rPr>
          <w:rFonts w:cstheme="minorHAnsi"/>
          <w:sz w:val="24"/>
          <w:szCs w:val="24"/>
          <w:lang w:val="es-ES_tradnl"/>
        </w:rPr>
        <w:t>que resulta rentable y permite alcanzar la repercusión esperada</w:t>
      </w:r>
      <w:r w:rsidR="00955968">
        <w:rPr>
          <w:rFonts w:cstheme="minorHAnsi"/>
          <w:sz w:val="24"/>
          <w:szCs w:val="24"/>
          <w:lang w:val="es-ES_tradnl"/>
        </w:rPr>
        <w:t>,</w:t>
      </w:r>
      <w:r w:rsidRPr="009A3DDF">
        <w:rPr>
          <w:rFonts w:cstheme="minorHAnsi"/>
          <w:sz w:val="24"/>
          <w:szCs w:val="24"/>
          <w:lang w:val="es-ES_tradnl"/>
        </w:rPr>
        <w:t xml:space="preserve"> y que es complementaria a proyectos similares en la misma esfera.</w:t>
      </w:r>
    </w:p>
    <w:p w14:paraId="2AC14111" w14:textId="61834F8A" w:rsidR="00445052" w:rsidRPr="009A3DDF" w:rsidRDefault="00450B76" w:rsidP="00CE3D00">
      <w:pPr>
        <w:spacing w:line="240" w:lineRule="auto"/>
        <w:jc w:val="both"/>
        <w:rPr>
          <w:rFonts w:cstheme="minorHAnsi"/>
          <w:sz w:val="24"/>
          <w:szCs w:val="24"/>
          <w:lang w:val="es-ES_tradnl"/>
        </w:rPr>
      </w:pPr>
      <w:r w:rsidRPr="009A3DDF">
        <w:rPr>
          <w:rFonts w:cstheme="minorHAnsi"/>
          <w:b/>
          <w:sz w:val="24"/>
          <w:szCs w:val="24"/>
          <w:lang w:val="es-ES_tradnl"/>
        </w:rPr>
        <w:t xml:space="preserve">Se </w:t>
      </w:r>
      <w:r w:rsidR="00DA351E" w:rsidRPr="009A3DDF">
        <w:rPr>
          <w:rFonts w:cstheme="minorHAnsi"/>
          <w:b/>
          <w:sz w:val="24"/>
          <w:szCs w:val="24"/>
          <w:lang w:val="es-ES_tradnl"/>
        </w:rPr>
        <w:t>invita</w:t>
      </w:r>
      <w:r w:rsidR="00445052" w:rsidRPr="009A3DDF">
        <w:rPr>
          <w:rFonts w:cstheme="minorHAnsi"/>
          <w:b/>
          <w:sz w:val="24"/>
          <w:szCs w:val="24"/>
          <w:lang w:val="es-ES_tradnl"/>
        </w:rPr>
        <w:t xml:space="preserve"> a los solicitantes a presentar productos que se puedan introducir en el mercado en un plazo de 3</w:t>
      </w:r>
      <w:r w:rsidRPr="009A3DDF">
        <w:rPr>
          <w:rFonts w:cstheme="minorHAnsi"/>
          <w:b/>
          <w:sz w:val="24"/>
          <w:szCs w:val="24"/>
          <w:lang w:val="es-ES_tradnl"/>
        </w:rPr>
        <w:t xml:space="preserve"> </w:t>
      </w:r>
      <w:r w:rsidR="00445052" w:rsidRPr="009A3DDF">
        <w:rPr>
          <w:rFonts w:cstheme="minorHAnsi"/>
          <w:b/>
          <w:sz w:val="24"/>
          <w:szCs w:val="24"/>
          <w:lang w:val="es-ES_tradnl"/>
        </w:rPr>
        <w:t>a 5</w:t>
      </w:r>
      <w:r w:rsidRPr="009A3DDF">
        <w:rPr>
          <w:rFonts w:cstheme="minorHAnsi"/>
          <w:b/>
          <w:sz w:val="24"/>
          <w:szCs w:val="24"/>
          <w:lang w:val="es-ES_tradnl"/>
        </w:rPr>
        <w:t xml:space="preserve"> </w:t>
      </w:r>
      <w:r w:rsidR="00445052" w:rsidRPr="009A3DDF">
        <w:rPr>
          <w:rFonts w:cstheme="minorHAnsi"/>
          <w:b/>
          <w:sz w:val="24"/>
          <w:szCs w:val="24"/>
          <w:lang w:val="es-ES_tradnl"/>
        </w:rPr>
        <w:t>años</w:t>
      </w:r>
      <w:r w:rsidR="00445052" w:rsidRPr="009A3DDF">
        <w:rPr>
          <w:rFonts w:cstheme="minorHAnsi"/>
          <w:sz w:val="24"/>
          <w:szCs w:val="24"/>
          <w:lang w:val="es-ES_tradnl"/>
        </w:rPr>
        <w:t xml:space="preserve"> </w:t>
      </w:r>
      <w:r w:rsidR="00F63140" w:rsidRPr="009A3DDF">
        <w:rPr>
          <w:rFonts w:cstheme="minorHAnsi"/>
          <w:sz w:val="24"/>
          <w:szCs w:val="24"/>
          <w:lang w:val="es-ES_tradnl"/>
        </w:rPr>
        <w:t xml:space="preserve">(es decir, </w:t>
      </w:r>
      <w:r w:rsidR="00445052" w:rsidRPr="009A3DDF">
        <w:rPr>
          <w:rFonts w:cstheme="minorHAnsi"/>
          <w:sz w:val="24"/>
          <w:szCs w:val="24"/>
          <w:lang w:val="es-ES_tradnl"/>
        </w:rPr>
        <w:t>los productos debe</w:t>
      </w:r>
      <w:r w:rsidR="00F63140" w:rsidRPr="009A3DDF">
        <w:rPr>
          <w:rFonts w:cstheme="minorHAnsi"/>
          <w:sz w:val="24"/>
          <w:szCs w:val="24"/>
          <w:lang w:val="es-ES_tradnl"/>
        </w:rPr>
        <w:t>rá</w:t>
      </w:r>
      <w:r w:rsidR="00445052" w:rsidRPr="009A3DDF">
        <w:rPr>
          <w:rFonts w:cstheme="minorHAnsi"/>
          <w:sz w:val="24"/>
          <w:szCs w:val="24"/>
          <w:lang w:val="es-ES_tradnl"/>
        </w:rPr>
        <w:t xml:space="preserve">n cumplir los requisitos </w:t>
      </w:r>
      <w:r w:rsidR="00DA351E" w:rsidRPr="009A3DDF">
        <w:rPr>
          <w:rFonts w:cstheme="minorHAnsi"/>
          <w:sz w:val="24"/>
          <w:szCs w:val="24"/>
          <w:lang w:val="es-ES_tradnl"/>
        </w:rPr>
        <w:t>de</w:t>
      </w:r>
      <w:r w:rsidR="00445052" w:rsidRPr="009A3DDF">
        <w:rPr>
          <w:rFonts w:cstheme="minorHAnsi"/>
          <w:sz w:val="24"/>
          <w:szCs w:val="24"/>
          <w:lang w:val="es-ES_tradnl"/>
        </w:rPr>
        <w:t xml:space="preserve"> </w:t>
      </w:r>
      <w:r w:rsidR="00DA351E" w:rsidRPr="009A3DDF">
        <w:rPr>
          <w:rFonts w:cstheme="minorHAnsi"/>
          <w:sz w:val="24"/>
          <w:szCs w:val="24"/>
          <w:lang w:val="es-ES_tradnl"/>
        </w:rPr>
        <w:t>adquisición</w:t>
      </w:r>
      <w:r w:rsidR="00445052" w:rsidRPr="009A3DDF">
        <w:rPr>
          <w:rFonts w:cstheme="minorHAnsi"/>
          <w:sz w:val="24"/>
          <w:szCs w:val="24"/>
          <w:lang w:val="es-ES_tradnl"/>
        </w:rPr>
        <w:t xml:space="preserve"> por las principales organizaciones financiadoras </w:t>
      </w:r>
      <w:r w:rsidR="00DA351E" w:rsidRPr="009A3DDF">
        <w:rPr>
          <w:rFonts w:cstheme="minorHAnsi"/>
          <w:sz w:val="24"/>
          <w:szCs w:val="24"/>
          <w:lang w:val="es-ES_tradnl"/>
        </w:rPr>
        <w:t>y</w:t>
      </w:r>
      <w:r w:rsidR="00445052" w:rsidRPr="009A3DDF">
        <w:rPr>
          <w:rFonts w:cstheme="minorHAnsi"/>
          <w:sz w:val="24"/>
          <w:szCs w:val="24"/>
          <w:lang w:val="es-ES_tradnl"/>
        </w:rPr>
        <w:t xml:space="preserve"> los países pertinentes en cada caso, y se debe</w:t>
      </w:r>
      <w:r w:rsidR="00F63140" w:rsidRPr="009A3DDF">
        <w:rPr>
          <w:rFonts w:cstheme="minorHAnsi"/>
          <w:sz w:val="24"/>
          <w:szCs w:val="24"/>
          <w:lang w:val="es-ES_tradnl"/>
        </w:rPr>
        <w:t>rá</w:t>
      </w:r>
      <w:r w:rsidR="00445052" w:rsidRPr="009A3DDF">
        <w:rPr>
          <w:rFonts w:cstheme="minorHAnsi"/>
          <w:sz w:val="24"/>
          <w:szCs w:val="24"/>
          <w:lang w:val="es-ES_tradnl"/>
        </w:rPr>
        <w:t xml:space="preserve"> demostrar una capacidad de suministro para satisfacer suficientemente la demanda al final de este periodo).</w:t>
      </w:r>
    </w:p>
    <w:p w14:paraId="52E9F12E" w14:textId="3DC2128D" w:rsidR="00445052" w:rsidRPr="009A3DDF" w:rsidRDefault="00445052" w:rsidP="00CE3D00">
      <w:pPr>
        <w:spacing w:line="240" w:lineRule="auto"/>
        <w:jc w:val="both"/>
        <w:rPr>
          <w:rFonts w:cstheme="minorHAnsi"/>
          <w:sz w:val="24"/>
          <w:szCs w:val="24"/>
          <w:lang w:val="es-ES_tradnl"/>
        </w:rPr>
      </w:pPr>
      <w:r w:rsidRPr="009A3DDF">
        <w:rPr>
          <w:rFonts w:cstheme="minorHAnsi"/>
          <w:b/>
          <w:bCs/>
          <w:sz w:val="24"/>
          <w:szCs w:val="24"/>
          <w:lang w:val="es-ES_tradnl"/>
        </w:rPr>
        <w:t>Temas que no se ajustan a la convocatoria</w:t>
      </w:r>
      <w:r w:rsidRPr="009A3DDF">
        <w:rPr>
          <w:rFonts w:cstheme="minorHAnsi"/>
          <w:b/>
          <w:sz w:val="24"/>
          <w:szCs w:val="24"/>
          <w:lang w:val="es-ES_tradnl"/>
        </w:rPr>
        <w:t>:</w:t>
      </w:r>
      <w:r w:rsidRPr="009A3DDF">
        <w:rPr>
          <w:rFonts w:cstheme="minorHAnsi"/>
          <w:sz w:val="24"/>
          <w:szCs w:val="24"/>
          <w:lang w:val="es-ES_tradnl"/>
        </w:rPr>
        <w:t xml:space="preserve"> </w:t>
      </w:r>
      <w:r w:rsidRPr="009A3DDF">
        <w:rPr>
          <w:rFonts w:cstheme="minorHAnsi"/>
          <w:i/>
          <w:sz w:val="24"/>
          <w:szCs w:val="24"/>
          <w:lang w:val="es-ES_tradnl"/>
        </w:rPr>
        <w:t>a</w:t>
      </w:r>
      <w:r w:rsidRPr="009A3DDF">
        <w:rPr>
          <w:rFonts w:cstheme="minorHAnsi"/>
          <w:sz w:val="24"/>
          <w:szCs w:val="24"/>
          <w:lang w:val="es-ES_tradnl"/>
        </w:rPr>
        <w:t xml:space="preserve">) las propuestas </w:t>
      </w:r>
      <w:r w:rsidR="00955968">
        <w:rPr>
          <w:rFonts w:cstheme="minorHAnsi"/>
          <w:sz w:val="24"/>
          <w:szCs w:val="24"/>
          <w:lang w:val="es-ES_tradnl"/>
        </w:rPr>
        <w:t>dedicadas a</w:t>
      </w:r>
      <w:r w:rsidRPr="009A3DDF">
        <w:rPr>
          <w:rFonts w:cstheme="minorHAnsi"/>
          <w:sz w:val="24"/>
          <w:szCs w:val="24"/>
          <w:lang w:val="es-ES_tradnl"/>
        </w:rPr>
        <w:t xml:space="preserve">l desarrollo de </w:t>
      </w:r>
      <w:r w:rsidR="00AC35F5">
        <w:rPr>
          <w:rFonts w:cstheme="minorHAnsi"/>
          <w:sz w:val="24"/>
          <w:szCs w:val="24"/>
          <w:lang w:val="es-ES_tradnl"/>
        </w:rPr>
        <w:t>productos</w:t>
      </w:r>
      <w:r w:rsidRPr="009A3DDF">
        <w:rPr>
          <w:rFonts w:cstheme="minorHAnsi"/>
          <w:sz w:val="24"/>
          <w:szCs w:val="24"/>
          <w:lang w:val="es-ES_tradnl"/>
        </w:rPr>
        <w:t xml:space="preserve"> de acción prolongada de nuevos principios activos o de nuevas indicaciones para fármacos autorizados que obliguen a realizar un desarrollo clínico </w:t>
      </w:r>
      <w:r w:rsidR="006B19FE" w:rsidRPr="009A3DDF">
        <w:rPr>
          <w:rFonts w:cstheme="minorHAnsi"/>
          <w:sz w:val="24"/>
          <w:szCs w:val="24"/>
          <w:lang w:val="es-ES_tradnl"/>
        </w:rPr>
        <w:t>completo</w:t>
      </w:r>
      <w:r w:rsidRPr="009A3DDF">
        <w:rPr>
          <w:rFonts w:cstheme="minorHAnsi"/>
          <w:sz w:val="24"/>
          <w:szCs w:val="24"/>
          <w:lang w:val="es-ES_tradnl"/>
        </w:rPr>
        <w:t xml:space="preserve"> antes de su presentación </w:t>
      </w:r>
      <w:r w:rsidR="006B19FE" w:rsidRPr="009A3DDF">
        <w:rPr>
          <w:rFonts w:cstheme="minorHAnsi"/>
          <w:sz w:val="24"/>
          <w:szCs w:val="24"/>
          <w:lang w:val="es-ES_tradnl"/>
        </w:rPr>
        <w:t xml:space="preserve">para </w:t>
      </w:r>
      <w:r w:rsidRPr="009A3DDF">
        <w:rPr>
          <w:rFonts w:cstheme="minorHAnsi"/>
          <w:sz w:val="24"/>
          <w:szCs w:val="24"/>
          <w:lang w:val="es-ES_tradnl"/>
        </w:rPr>
        <w:t xml:space="preserve">obtener la </w:t>
      </w:r>
      <w:r w:rsidR="00AA3CC9" w:rsidRPr="009A3DDF">
        <w:rPr>
          <w:rFonts w:cstheme="minorHAnsi"/>
          <w:sz w:val="24"/>
          <w:szCs w:val="24"/>
          <w:lang w:val="es-ES_tradnl"/>
        </w:rPr>
        <w:t>homologación para comercialización</w:t>
      </w:r>
      <w:r w:rsidRPr="009A3DDF">
        <w:rPr>
          <w:rFonts w:cstheme="minorHAnsi"/>
          <w:sz w:val="24"/>
          <w:szCs w:val="24"/>
          <w:lang w:val="es-ES_tradnl"/>
        </w:rPr>
        <w:t xml:space="preserve">; </w:t>
      </w:r>
      <w:r w:rsidRPr="009A3DDF">
        <w:rPr>
          <w:rFonts w:cstheme="minorHAnsi"/>
          <w:i/>
          <w:sz w:val="24"/>
          <w:szCs w:val="24"/>
          <w:lang w:val="es-ES_tradnl"/>
        </w:rPr>
        <w:t>b</w:t>
      </w:r>
      <w:r w:rsidRPr="009A3DDF">
        <w:rPr>
          <w:rFonts w:cstheme="minorHAnsi"/>
          <w:sz w:val="24"/>
          <w:szCs w:val="24"/>
          <w:lang w:val="es-ES_tradnl"/>
        </w:rPr>
        <w:t>) las propuestas que incluya</w:t>
      </w:r>
      <w:r w:rsidR="00F63140" w:rsidRPr="009A3DDF">
        <w:rPr>
          <w:rFonts w:cstheme="minorHAnsi"/>
          <w:sz w:val="24"/>
          <w:szCs w:val="24"/>
          <w:lang w:val="es-ES_tradnl"/>
        </w:rPr>
        <w:t xml:space="preserve">n </w:t>
      </w:r>
      <w:r w:rsidR="00AA3CC9" w:rsidRPr="009A3DDF">
        <w:rPr>
          <w:rFonts w:cstheme="minorHAnsi"/>
          <w:sz w:val="24"/>
          <w:szCs w:val="24"/>
          <w:lang w:val="es-ES_tradnl"/>
        </w:rPr>
        <w:t>el trabajo en</w:t>
      </w:r>
      <w:r w:rsidR="00F63140" w:rsidRPr="009A3DDF">
        <w:rPr>
          <w:rFonts w:cstheme="minorHAnsi"/>
          <w:sz w:val="24"/>
          <w:szCs w:val="24"/>
          <w:lang w:val="es-ES_tradnl"/>
        </w:rPr>
        <w:t xml:space="preserve"> los países para </w:t>
      </w:r>
      <w:r w:rsidR="00AD69FE">
        <w:rPr>
          <w:rFonts w:cstheme="minorHAnsi"/>
          <w:sz w:val="24"/>
          <w:szCs w:val="24"/>
          <w:lang w:val="es-ES_tradnl"/>
        </w:rPr>
        <w:t xml:space="preserve">actividades de ampliación </w:t>
      </w:r>
      <w:r w:rsidR="00AA3CC9" w:rsidRPr="009A3DDF">
        <w:rPr>
          <w:rFonts w:cstheme="minorHAnsi"/>
          <w:sz w:val="24"/>
          <w:szCs w:val="24"/>
          <w:lang w:val="es-ES_tradnl"/>
        </w:rPr>
        <w:t>de escala.</w:t>
      </w:r>
    </w:p>
    <w:p w14:paraId="65F2B9B5" w14:textId="051FF43C" w:rsidR="007311D3" w:rsidRPr="009A3DDF" w:rsidRDefault="006515F7" w:rsidP="00CE3D00">
      <w:pPr>
        <w:spacing w:after="0" w:line="240" w:lineRule="auto"/>
        <w:jc w:val="both"/>
        <w:rPr>
          <w:rFonts w:cstheme="minorHAnsi"/>
          <w:bCs/>
          <w:sz w:val="24"/>
          <w:szCs w:val="24"/>
          <w:lang w:val="es-ES_tradnl"/>
        </w:rPr>
      </w:pPr>
      <w:r w:rsidRPr="009A3DDF">
        <w:rPr>
          <w:rFonts w:cstheme="minorHAnsi"/>
          <w:sz w:val="24"/>
          <w:szCs w:val="24"/>
          <w:lang w:val="es-ES_tradnl"/>
        </w:rPr>
        <w:t>Se valorarán especialmente las</w:t>
      </w:r>
      <w:r w:rsidR="00445052" w:rsidRPr="009A3DDF">
        <w:rPr>
          <w:rFonts w:cstheme="minorHAnsi"/>
          <w:sz w:val="24"/>
          <w:szCs w:val="24"/>
          <w:lang w:val="es-ES_tradnl"/>
        </w:rPr>
        <w:t xml:space="preserve"> propuestas </w:t>
      </w:r>
      <w:r w:rsidRPr="009A3DDF">
        <w:rPr>
          <w:rFonts w:cstheme="minorHAnsi"/>
          <w:sz w:val="24"/>
          <w:szCs w:val="24"/>
          <w:lang w:val="es-ES_tradnl"/>
        </w:rPr>
        <w:t>que incluyan</w:t>
      </w:r>
      <w:r w:rsidR="00445052" w:rsidRPr="009A3DDF">
        <w:rPr>
          <w:rFonts w:cstheme="minorHAnsi"/>
          <w:sz w:val="24"/>
          <w:szCs w:val="24"/>
          <w:lang w:val="es-ES_tradnl"/>
        </w:rPr>
        <w:t xml:space="preserve"> más de un producto, </w:t>
      </w:r>
      <w:r w:rsidRPr="009A3DDF">
        <w:rPr>
          <w:rFonts w:cstheme="minorHAnsi"/>
          <w:sz w:val="24"/>
          <w:szCs w:val="24"/>
          <w:lang w:val="es-ES_tradnl"/>
        </w:rPr>
        <w:t>cuyas</w:t>
      </w:r>
      <w:r w:rsidR="00445052" w:rsidRPr="009A3DDF">
        <w:rPr>
          <w:rFonts w:cstheme="minorHAnsi"/>
          <w:sz w:val="24"/>
          <w:szCs w:val="24"/>
          <w:lang w:val="es-ES_tradnl"/>
        </w:rPr>
        <w:t xml:space="preserve"> inversiones </w:t>
      </w:r>
      <w:r w:rsidRPr="009A3DDF">
        <w:rPr>
          <w:rFonts w:cstheme="minorHAnsi"/>
          <w:sz w:val="24"/>
          <w:szCs w:val="24"/>
          <w:lang w:val="es-ES_tradnl"/>
        </w:rPr>
        <w:t xml:space="preserve">abarquen </w:t>
      </w:r>
      <w:r w:rsidR="00445052" w:rsidRPr="009A3DDF">
        <w:rPr>
          <w:rFonts w:cstheme="minorHAnsi"/>
          <w:sz w:val="24"/>
          <w:szCs w:val="24"/>
          <w:lang w:val="es-ES_tradnl"/>
        </w:rPr>
        <w:t>más de una categoría de produc</w:t>
      </w:r>
      <w:r w:rsidR="006B19FE" w:rsidRPr="009A3DDF">
        <w:rPr>
          <w:rFonts w:cstheme="minorHAnsi"/>
          <w:sz w:val="24"/>
          <w:szCs w:val="24"/>
          <w:lang w:val="es-ES_tradnl"/>
        </w:rPr>
        <w:t xml:space="preserve">tos y </w:t>
      </w:r>
      <w:r w:rsidRPr="009A3DDF">
        <w:rPr>
          <w:rFonts w:cstheme="minorHAnsi"/>
          <w:sz w:val="24"/>
          <w:szCs w:val="24"/>
          <w:lang w:val="es-ES_tradnl"/>
        </w:rPr>
        <w:t>que contemplen</w:t>
      </w:r>
      <w:r w:rsidR="006B19FE" w:rsidRPr="009A3DDF">
        <w:rPr>
          <w:rFonts w:cstheme="minorHAnsi"/>
          <w:sz w:val="24"/>
          <w:szCs w:val="24"/>
          <w:lang w:val="es-ES_tradnl"/>
        </w:rPr>
        <w:t xml:space="preserve"> alianzas</w:t>
      </w:r>
      <w:r w:rsidR="00445052" w:rsidRPr="009A3DDF">
        <w:rPr>
          <w:rFonts w:cstheme="minorHAnsi"/>
          <w:sz w:val="24"/>
          <w:szCs w:val="24"/>
          <w:lang w:val="es-ES_tradnl"/>
        </w:rPr>
        <w:t>, incluso con la industria. En la propuesta de gestión del proyecto se deberá tener en cuenta la integración de un consejo consultivo científico</w:t>
      </w:r>
      <w:r w:rsidR="00687CC2" w:rsidRPr="009A3DDF">
        <w:rPr>
          <w:rFonts w:cstheme="minorHAnsi"/>
          <w:bCs/>
          <w:sz w:val="24"/>
          <w:szCs w:val="24"/>
          <w:lang w:val="es-ES_tradnl"/>
        </w:rPr>
        <w:t>.</w:t>
      </w:r>
    </w:p>
    <w:p w14:paraId="40C52FC1" w14:textId="77777777" w:rsidR="00FF30B8" w:rsidRPr="009A3DDF" w:rsidRDefault="00FF30B8" w:rsidP="00CE3D00">
      <w:pPr>
        <w:spacing w:after="0" w:line="240" w:lineRule="auto"/>
        <w:jc w:val="both"/>
        <w:rPr>
          <w:rFonts w:cstheme="minorHAnsi"/>
          <w:b/>
          <w:bCs/>
          <w:sz w:val="24"/>
          <w:szCs w:val="24"/>
          <w:lang w:val="es-ES_tradnl"/>
        </w:rPr>
      </w:pPr>
    </w:p>
    <w:p w14:paraId="50CB9158" w14:textId="77777777" w:rsidR="005948DB" w:rsidRPr="009A3DDF" w:rsidRDefault="005948DB" w:rsidP="00CE3D00">
      <w:pPr>
        <w:spacing w:after="0" w:line="240" w:lineRule="auto"/>
        <w:jc w:val="both"/>
        <w:rPr>
          <w:rFonts w:cstheme="minorHAnsi"/>
          <w:bCs/>
          <w:sz w:val="24"/>
          <w:szCs w:val="24"/>
          <w:lang w:val="es-ES_tradnl"/>
        </w:rPr>
      </w:pPr>
    </w:p>
    <w:p w14:paraId="2C93CD83" w14:textId="1765BF0F" w:rsidR="00B20976" w:rsidRPr="009A3DDF" w:rsidRDefault="00445052" w:rsidP="00450B76">
      <w:pPr>
        <w:spacing w:after="0" w:line="240" w:lineRule="auto"/>
        <w:jc w:val="both"/>
        <w:rPr>
          <w:rFonts w:eastAsia="SimSun" w:cstheme="minorHAnsi"/>
          <w:b/>
          <w:bCs/>
          <w:sz w:val="24"/>
          <w:szCs w:val="24"/>
          <w:lang w:val="es-ES_tradnl"/>
        </w:rPr>
      </w:pPr>
      <w:r w:rsidRPr="009A3DDF">
        <w:rPr>
          <w:rFonts w:eastAsia="SimSun" w:cstheme="minorHAnsi"/>
          <w:b/>
          <w:bCs/>
          <w:sz w:val="24"/>
          <w:szCs w:val="24"/>
          <w:lang w:val="es-ES_tradnl"/>
        </w:rPr>
        <w:t>PROCESO PARA LA PRESENTACIÓN DE LAS PROPUESTAS</w:t>
      </w:r>
    </w:p>
    <w:p w14:paraId="3D3FEDB0" w14:textId="77777777" w:rsidR="005948DB" w:rsidRPr="009A3DDF" w:rsidRDefault="005948DB" w:rsidP="00450B76">
      <w:pPr>
        <w:spacing w:after="0" w:line="240" w:lineRule="auto"/>
        <w:jc w:val="both"/>
        <w:rPr>
          <w:rFonts w:cstheme="minorHAnsi"/>
          <w:i/>
          <w:iCs/>
          <w:sz w:val="24"/>
          <w:szCs w:val="24"/>
          <w:lang w:val="es-ES_tradnl"/>
        </w:rPr>
      </w:pPr>
    </w:p>
    <w:p w14:paraId="588E3D45" w14:textId="5172A990" w:rsidR="00A31847" w:rsidRPr="009A3DDF" w:rsidRDefault="00445052" w:rsidP="00450B76">
      <w:pPr>
        <w:spacing w:after="0" w:line="240" w:lineRule="auto"/>
        <w:jc w:val="both"/>
        <w:rPr>
          <w:rFonts w:cstheme="minorHAnsi"/>
          <w:bCs/>
          <w:sz w:val="24"/>
          <w:szCs w:val="24"/>
          <w:lang w:val="es-ES_tradnl"/>
        </w:rPr>
      </w:pPr>
      <w:r w:rsidRPr="009A3DDF">
        <w:rPr>
          <w:rFonts w:cstheme="minorHAnsi"/>
          <w:i/>
          <w:iCs/>
          <w:sz w:val="24"/>
          <w:szCs w:val="24"/>
          <w:lang w:val="es-ES_tradnl"/>
        </w:rPr>
        <w:t xml:space="preserve">Nota: en caso de ser seleccionados, los solicitantes deberán acudir a la sede </w:t>
      </w:r>
      <w:r w:rsidR="00955968">
        <w:rPr>
          <w:rFonts w:cstheme="minorHAnsi"/>
          <w:i/>
          <w:iCs/>
          <w:sz w:val="24"/>
          <w:szCs w:val="24"/>
          <w:lang w:val="es-ES_tradnl"/>
        </w:rPr>
        <w:t>de</w:t>
      </w:r>
      <w:r w:rsidRPr="009A3DDF">
        <w:rPr>
          <w:rFonts w:cstheme="minorHAnsi"/>
          <w:i/>
          <w:iCs/>
          <w:sz w:val="24"/>
          <w:szCs w:val="24"/>
          <w:lang w:val="es-ES_tradnl"/>
        </w:rPr>
        <w:t xml:space="preserve"> Unitaid</w:t>
      </w:r>
      <w:r w:rsidR="00955968">
        <w:rPr>
          <w:rFonts w:cstheme="minorHAnsi"/>
          <w:i/>
          <w:iCs/>
          <w:sz w:val="24"/>
          <w:szCs w:val="24"/>
          <w:lang w:val="es-ES_tradnl"/>
        </w:rPr>
        <w:t xml:space="preserve"> en Ginebra </w:t>
      </w:r>
      <w:r w:rsidRPr="009A3DDF">
        <w:rPr>
          <w:rFonts w:cstheme="minorHAnsi"/>
          <w:i/>
          <w:iCs/>
          <w:sz w:val="24"/>
          <w:szCs w:val="24"/>
          <w:lang w:val="es-ES_tradnl"/>
        </w:rPr>
        <w:t xml:space="preserve">para celebrar una reunión inicial, entre el 22 el 31 de julio (la fecha exacta se confirmará más adelante). Además, deberán </w:t>
      </w:r>
      <w:r w:rsidR="00265C4E" w:rsidRPr="009A3DDF">
        <w:rPr>
          <w:rFonts w:cstheme="minorHAnsi"/>
          <w:i/>
          <w:iCs/>
          <w:sz w:val="24"/>
          <w:szCs w:val="24"/>
          <w:lang w:val="es-ES_tradnl"/>
        </w:rPr>
        <w:t>prever</w:t>
      </w:r>
      <w:r w:rsidRPr="009A3DDF">
        <w:rPr>
          <w:rFonts w:cstheme="minorHAnsi"/>
          <w:i/>
          <w:iCs/>
          <w:sz w:val="24"/>
          <w:szCs w:val="24"/>
          <w:lang w:val="es-ES_tradnl"/>
        </w:rPr>
        <w:t xml:space="preserve"> </w:t>
      </w:r>
      <w:r w:rsidR="00265C4E" w:rsidRPr="009A3DDF">
        <w:rPr>
          <w:rFonts w:cstheme="minorHAnsi"/>
          <w:i/>
          <w:iCs/>
          <w:sz w:val="24"/>
          <w:szCs w:val="24"/>
          <w:lang w:val="es-ES_tradnl"/>
        </w:rPr>
        <w:t xml:space="preserve">el </w:t>
      </w:r>
      <w:r w:rsidRPr="009A3DDF">
        <w:rPr>
          <w:rFonts w:cstheme="minorHAnsi"/>
          <w:i/>
          <w:iCs/>
          <w:sz w:val="24"/>
          <w:szCs w:val="24"/>
          <w:lang w:val="es-ES_tradnl"/>
        </w:rPr>
        <w:t>personal suficiente para presentar un primer borrador del plan de proyecto a principios de septiembre</w:t>
      </w:r>
      <w:r w:rsidR="00963F62" w:rsidRPr="009A3DDF">
        <w:rPr>
          <w:rFonts w:cstheme="minorHAnsi"/>
          <w:i/>
          <w:iCs/>
          <w:sz w:val="24"/>
          <w:szCs w:val="24"/>
          <w:lang w:val="es-ES_tradnl"/>
        </w:rPr>
        <w:t>.</w:t>
      </w:r>
    </w:p>
    <w:p w14:paraId="63D17314" w14:textId="77777777" w:rsidR="00B20976" w:rsidRPr="009A3DDF" w:rsidRDefault="00B20976" w:rsidP="00767992">
      <w:pPr>
        <w:spacing w:after="0" w:line="240" w:lineRule="auto"/>
        <w:jc w:val="both"/>
        <w:rPr>
          <w:rFonts w:eastAsia="SimSun" w:cstheme="minorHAnsi"/>
          <w:b/>
          <w:bCs/>
          <w:sz w:val="24"/>
          <w:szCs w:val="24"/>
          <w:lang w:val="es-ES_tradnl"/>
        </w:rPr>
      </w:pPr>
    </w:p>
    <w:p w14:paraId="7538BF7F" w14:textId="55DD87AC" w:rsidR="00FD664F" w:rsidRPr="009A3DDF" w:rsidRDefault="00445052" w:rsidP="00767992">
      <w:pPr>
        <w:spacing w:line="240" w:lineRule="auto"/>
        <w:jc w:val="both"/>
        <w:rPr>
          <w:rFonts w:cstheme="minorHAnsi"/>
          <w:sz w:val="24"/>
          <w:szCs w:val="24"/>
          <w:lang w:val="es-ES_tradnl"/>
        </w:rPr>
      </w:pPr>
      <w:r w:rsidRPr="009A3DDF">
        <w:rPr>
          <w:rFonts w:cstheme="minorHAnsi"/>
          <w:sz w:val="24"/>
          <w:szCs w:val="24"/>
          <w:lang w:val="es-ES_tradnl"/>
        </w:rPr>
        <w:t xml:space="preserve">Para elaborar la propuesta, </w:t>
      </w:r>
      <w:r w:rsidR="00955968">
        <w:rPr>
          <w:rFonts w:cstheme="minorHAnsi"/>
          <w:sz w:val="24"/>
          <w:szCs w:val="24"/>
          <w:lang w:val="es-ES_tradnl"/>
        </w:rPr>
        <w:t xml:space="preserve">se </w:t>
      </w:r>
      <w:r w:rsidRPr="009A3DDF">
        <w:rPr>
          <w:rFonts w:cstheme="minorHAnsi"/>
          <w:sz w:val="24"/>
          <w:szCs w:val="24"/>
          <w:lang w:val="es-ES_tradnl"/>
        </w:rPr>
        <w:t>pueden consultar los siguientes recursos</w:t>
      </w:r>
      <w:r w:rsidR="00FD664F" w:rsidRPr="009A3DDF">
        <w:rPr>
          <w:rFonts w:cstheme="minorHAnsi"/>
          <w:sz w:val="24"/>
          <w:szCs w:val="24"/>
          <w:lang w:val="es-ES_tradnl"/>
        </w:rPr>
        <w:t>:</w:t>
      </w:r>
    </w:p>
    <w:p w14:paraId="1D17674C" w14:textId="710B472E" w:rsidR="00FD664F" w:rsidRPr="009A3DDF" w:rsidRDefault="006B19FE" w:rsidP="00767992">
      <w:pPr>
        <w:pStyle w:val="ListParagraph"/>
        <w:numPr>
          <w:ilvl w:val="0"/>
          <w:numId w:val="5"/>
        </w:numPr>
        <w:spacing w:after="0" w:line="240" w:lineRule="auto"/>
        <w:jc w:val="both"/>
        <w:rPr>
          <w:rFonts w:cstheme="minorHAnsi"/>
          <w:color w:val="000000" w:themeColor="text1"/>
          <w:sz w:val="24"/>
          <w:szCs w:val="24"/>
          <w:lang w:val="es-ES_tradnl"/>
        </w:rPr>
      </w:pPr>
      <w:r w:rsidRPr="009A3DDF">
        <w:rPr>
          <w:rFonts w:cstheme="minorHAnsi"/>
          <w:color w:val="000000" w:themeColor="text1"/>
          <w:sz w:val="24"/>
          <w:szCs w:val="24"/>
          <w:lang w:val="es-ES_tradnl"/>
        </w:rPr>
        <w:t xml:space="preserve">respuestas </w:t>
      </w:r>
      <w:r w:rsidR="00445052" w:rsidRPr="009A3DDF">
        <w:rPr>
          <w:rFonts w:cstheme="minorHAnsi"/>
          <w:color w:val="000000" w:themeColor="text1"/>
          <w:sz w:val="24"/>
          <w:szCs w:val="24"/>
          <w:lang w:val="es-ES_tradnl"/>
        </w:rPr>
        <w:t xml:space="preserve">a preguntas frecuentes </w:t>
      </w:r>
      <w:r w:rsidR="00955968">
        <w:rPr>
          <w:rFonts w:cstheme="minorHAnsi"/>
          <w:color w:val="000000" w:themeColor="text1"/>
          <w:sz w:val="24"/>
          <w:szCs w:val="24"/>
          <w:lang w:val="es-ES_tradnl"/>
        </w:rPr>
        <w:t>sobre cómo</w:t>
      </w:r>
      <w:r w:rsidR="00445052" w:rsidRPr="009A3DDF">
        <w:rPr>
          <w:rFonts w:cstheme="minorHAnsi"/>
          <w:color w:val="000000" w:themeColor="text1"/>
          <w:sz w:val="24"/>
          <w:szCs w:val="24"/>
          <w:lang w:val="es-ES_tradnl"/>
        </w:rPr>
        <w:t xml:space="preserve"> </w:t>
      </w:r>
      <w:r w:rsidRPr="009A3DDF">
        <w:rPr>
          <w:rFonts w:cstheme="minorHAnsi"/>
          <w:color w:val="000000" w:themeColor="text1"/>
          <w:sz w:val="24"/>
          <w:szCs w:val="24"/>
          <w:lang w:val="es-ES_tradnl"/>
        </w:rPr>
        <w:t>preparar</w:t>
      </w:r>
      <w:r w:rsidR="00445052" w:rsidRPr="009A3DDF">
        <w:rPr>
          <w:rFonts w:cstheme="minorHAnsi"/>
          <w:color w:val="000000" w:themeColor="text1"/>
          <w:sz w:val="24"/>
          <w:szCs w:val="24"/>
          <w:lang w:val="es-ES_tradnl"/>
        </w:rPr>
        <w:t xml:space="preserve"> propuesta</w:t>
      </w:r>
      <w:r w:rsidRPr="009A3DDF">
        <w:rPr>
          <w:rFonts w:cstheme="minorHAnsi"/>
          <w:color w:val="000000" w:themeColor="text1"/>
          <w:sz w:val="24"/>
          <w:szCs w:val="24"/>
          <w:lang w:val="es-ES_tradnl"/>
        </w:rPr>
        <w:t>s</w:t>
      </w:r>
      <w:r w:rsidR="00445052" w:rsidRPr="009A3DDF">
        <w:rPr>
          <w:rFonts w:cstheme="minorHAnsi"/>
          <w:color w:val="000000" w:themeColor="text1"/>
          <w:sz w:val="24"/>
          <w:szCs w:val="24"/>
          <w:lang w:val="es-ES_tradnl"/>
        </w:rPr>
        <w:t xml:space="preserve"> (este documento se actualiza periódicamente). </w:t>
      </w:r>
      <w:r w:rsidR="00955968">
        <w:rPr>
          <w:rFonts w:cstheme="minorHAnsi"/>
          <w:color w:val="000000" w:themeColor="text1"/>
          <w:sz w:val="24"/>
          <w:szCs w:val="24"/>
          <w:lang w:val="es-ES_tradnl"/>
        </w:rPr>
        <w:t>Pulse aquí</w:t>
      </w:r>
      <w:r w:rsidR="00FD664F" w:rsidRPr="009A3DDF">
        <w:rPr>
          <w:rFonts w:cstheme="minorHAnsi"/>
          <w:color w:val="000000" w:themeColor="text1"/>
          <w:sz w:val="24"/>
          <w:szCs w:val="24"/>
          <w:lang w:val="es-ES_tradnl"/>
        </w:rPr>
        <w:t xml:space="preserve">; </w:t>
      </w:r>
    </w:p>
    <w:p w14:paraId="25E28156" w14:textId="58B690F7" w:rsidR="00E20A19" w:rsidRPr="009A3DDF" w:rsidRDefault="00445052" w:rsidP="00767992">
      <w:pPr>
        <w:pStyle w:val="ListParagraph"/>
        <w:numPr>
          <w:ilvl w:val="0"/>
          <w:numId w:val="5"/>
        </w:numPr>
        <w:spacing w:after="0" w:line="240" w:lineRule="auto"/>
        <w:jc w:val="both"/>
        <w:rPr>
          <w:rFonts w:cstheme="minorHAnsi"/>
          <w:color w:val="000000" w:themeColor="text1"/>
          <w:sz w:val="24"/>
          <w:szCs w:val="24"/>
          <w:lang w:val="es-ES_tradnl"/>
        </w:rPr>
      </w:pPr>
      <w:r w:rsidRPr="009A3DDF">
        <w:rPr>
          <w:rFonts w:cstheme="minorHAnsi"/>
          <w:color w:val="000000" w:themeColor="text1"/>
          <w:sz w:val="24"/>
          <w:szCs w:val="24"/>
          <w:lang w:val="es-ES_tradnl"/>
        </w:rPr>
        <w:t xml:space="preserve">la justificación preliminar de Unitaid para trabajar en esta área de intervención, que puede consultarse </w:t>
      </w:r>
      <w:hyperlink r:id="rId8" w:history="1">
        <w:r w:rsidRPr="009A3DDF">
          <w:rPr>
            <w:rStyle w:val="Hyperlink"/>
            <w:rFonts w:cstheme="minorHAnsi"/>
            <w:color w:val="000000" w:themeColor="text1"/>
            <w:sz w:val="24"/>
            <w:szCs w:val="24"/>
            <w:u w:val="none"/>
            <w:lang w:val="es-ES_tradnl"/>
          </w:rPr>
          <w:t>aquí</w:t>
        </w:r>
      </w:hyperlink>
      <w:r w:rsidR="00AD69FE">
        <w:rPr>
          <w:rFonts w:cstheme="minorHAnsi"/>
          <w:color w:val="000000" w:themeColor="text1"/>
          <w:sz w:val="24"/>
          <w:szCs w:val="24"/>
          <w:lang w:val="es-ES_tradnl"/>
        </w:rPr>
        <w:t>.</w:t>
      </w:r>
    </w:p>
    <w:p w14:paraId="7D8898F4" w14:textId="77777777" w:rsidR="00FD664F" w:rsidRPr="009A3DDF" w:rsidRDefault="00FD664F" w:rsidP="00767992">
      <w:pPr>
        <w:spacing w:after="0" w:line="240" w:lineRule="auto"/>
        <w:jc w:val="both"/>
        <w:rPr>
          <w:rFonts w:cstheme="minorHAnsi"/>
          <w:bCs/>
          <w:sz w:val="24"/>
          <w:szCs w:val="24"/>
          <w:lang w:val="es-ES_tradnl"/>
        </w:rPr>
      </w:pPr>
    </w:p>
    <w:p w14:paraId="31BFB0D9" w14:textId="77B4B1B9" w:rsidR="00844A6E" w:rsidRPr="009A3DDF" w:rsidRDefault="00844A6E" w:rsidP="00767992">
      <w:pPr>
        <w:spacing w:line="240" w:lineRule="auto"/>
        <w:jc w:val="both"/>
        <w:rPr>
          <w:rFonts w:cstheme="minorHAnsi"/>
          <w:sz w:val="24"/>
          <w:szCs w:val="24"/>
          <w:lang w:val="es-ES_tradnl"/>
        </w:rPr>
      </w:pPr>
      <w:r w:rsidRPr="009A3DDF">
        <w:rPr>
          <w:rFonts w:cstheme="minorHAnsi"/>
          <w:sz w:val="24"/>
          <w:szCs w:val="24"/>
          <w:lang w:val="es-ES_tradnl"/>
        </w:rPr>
        <w:t xml:space="preserve">Unitaid </w:t>
      </w:r>
      <w:r w:rsidR="00955968">
        <w:rPr>
          <w:rFonts w:cstheme="minorHAnsi"/>
          <w:sz w:val="24"/>
          <w:szCs w:val="24"/>
          <w:lang w:val="es-ES_tradnl"/>
        </w:rPr>
        <w:t>realiza</w:t>
      </w:r>
      <w:r w:rsidRPr="009A3DDF">
        <w:rPr>
          <w:rFonts w:cstheme="minorHAnsi"/>
          <w:sz w:val="24"/>
          <w:szCs w:val="24"/>
          <w:lang w:val="es-ES_tradnl"/>
        </w:rPr>
        <w:t xml:space="preserve"> intervenciones </w:t>
      </w:r>
      <w:r w:rsidR="00955968">
        <w:rPr>
          <w:rFonts w:cstheme="minorHAnsi"/>
          <w:sz w:val="24"/>
          <w:szCs w:val="24"/>
          <w:lang w:val="es-ES_tradnl"/>
        </w:rPr>
        <w:t>de</w:t>
      </w:r>
      <w:r w:rsidRPr="009A3DDF">
        <w:rPr>
          <w:rFonts w:cstheme="minorHAnsi"/>
          <w:sz w:val="24"/>
          <w:szCs w:val="24"/>
          <w:lang w:val="es-ES_tradnl"/>
        </w:rPr>
        <w:t xml:space="preserve"> mercado </w:t>
      </w:r>
      <w:r w:rsidR="00955968">
        <w:rPr>
          <w:rFonts w:cstheme="minorHAnsi"/>
          <w:sz w:val="24"/>
          <w:szCs w:val="24"/>
          <w:lang w:val="es-ES_tradnl"/>
        </w:rPr>
        <w:t xml:space="preserve">de salud global </w:t>
      </w:r>
      <w:r w:rsidRPr="009A3DDF">
        <w:rPr>
          <w:rFonts w:cstheme="minorHAnsi"/>
          <w:sz w:val="24"/>
          <w:szCs w:val="24"/>
          <w:lang w:val="es-ES_tradnl"/>
        </w:rPr>
        <w:t xml:space="preserve">para lograr resultados </w:t>
      </w:r>
      <w:r w:rsidR="00955968">
        <w:rPr>
          <w:rFonts w:cstheme="minorHAnsi"/>
          <w:sz w:val="24"/>
          <w:szCs w:val="24"/>
          <w:lang w:val="es-ES_tradnl"/>
        </w:rPr>
        <w:t xml:space="preserve">en </w:t>
      </w:r>
      <w:r w:rsidRPr="009A3DDF">
        <w:rPr>
          <w:rFonts w:cstheme="minorHAnsi"/>
          <w:sz w:val="24"/>
          <w:szCs w:val="24"/>
          <w:lang w:val="es-ES_tradnl"/>
        </w:rPr>
        <w:t>la salud pública</w:t>
      </w:r>
      <w:r w:rsidR="006B19FE" w:rsidRPr="009A3DDF">
        <w:rPr>
          <w:rFonts w:cstheme="minorHAnsi"/>
          <w:sz w:val="24"/>
          <w:szCs w:val="24"/>
          <w:lang w:val="es-ES_tradnl"/>
        </w:rPr>
        <w:t xml:space="preserve"> mundiales</w:t>
      </w:r>
      <w:r w:rsidRPr="009A3DDF">
        <w:rPr>
          <w:rFonts w:cstheme="minorHAnsi"/>
          <w:sz w:val="24"/>
          <w:szCs w:val="24"/>
          <w:lang w:val="es-ES_tradnl"/>
        </w:rPr>
        <w:t>. En las propuestas se debe</w:t>
      </w:r>
      <w:r w:rsidR="006B19FE" w:rsidRPr="009A3DDF">
        <w:rPr>
          <w:rFonts w:cstheme="minorHAnsi"/>
          <w:sz w:val="24"/>
          <w:szCs w:val="24"/>
          <w:lang w:val="es-ES_tradnl"/>
        </w:rPr>
        <w:t>rá</w:t>
      </w:r>
      <w:r w:rsidRPr="009A3DDF">
        <w:rPr>
          <w:rFonts w:cstheme="minorHAnsi"/>
          <w:sz w:val="24"/>
          <w:szCs w:val="24"/>
          <w:lang w:val="es-ES_tradnl"/>
        </w:rPr>
        <w:t xml:space="preserve"> demostrar claramente que los enfoques propuestos son innovadores y sostenibles y que su uso puede solucionar problemas </w:t>
      </w:r>
      <w:r w:rsidR="00265C4E" w:rsidRPr="009A3DDF">
        <w:rPr>
          <w:rFonts w:cstheme="minorHAnsi"/>
          <w:sz w:val="24"/>
          <w:szCs w:val="24"/>
          <w:lang w:val="es-ES_tradnl"/>
        </w:rPr>
        <w:t>esenciales</w:t>
      </w:r>
      <w:r w:rsidRPr="009A3DDF">
        <w:rPr>
          <w:rFonts w:cstheme="minorHAnsi"/>
          <w:sz w:val="24"/>
          <w:szCs w:val="24"/>
          <w:lang w:val="es-ES_tradnl"/>
        </w:rPr>
        <w:t xml:space="preserve"> de salud pública.</w:t>
      </w:r>
    </w:p>
    <w:p w14:paraId="21F032CD" w14:textId="6A13019D" w:rsidR="00844A6E" w:rsidRPr="009A3DDF" w:rsidRDefault="009B4E8B" w:rsidP="00767992">
      <w:pPr>
        <w:spacing w:line="240" w:lineRule="auto"/>
        <w:jc w:val="both"/>
        <w:rPr>
          <w:rFonts w:cstheme="minorHAnsi"/>
          <w:sz w:val="24"/>
          <w:szCs w:val="24"/>
          <w:lang w:val="es-ES_tradnl"/>
        </w:rPr>
      </w:pPr>
      <w:r w:rsidRPr="009A3DDF">
        <w:rPr>
          <w:rFonts w:cstheme="minorHAnsi"/>
          <w:sz w:val="24"/>
          <w:szCs w:val="24"/>
          <w:lang w:val="es-ES_tradnl"/>
        </w:rPr>
        <w:t>Los solicitantes deberá</w:t>
      </w:r>
      <w:r w:rsidR="00844A6E" w:rsidRPr="009A3DDF">
        <w:rPr>
          <w:rFonts w:cstheme="minorHAnsi"/>
          <w:sz w:val="24"/>
          <w:szCs w:val="24"/>
          <w:lang w:val="es-ES_tradnl"/>
        </w:rPr>
        <w:t xml:space="preserve">n exponer con claridad las hipótesis </w:t>
      </w:r>
      <w:r w:rsidR="00265C4E" w:rsidRPr="009A3DDF">
        <w:rPr>
          <w:rFonts w:cstheme="minorHAnsi"/>
          <w:sz w:val="24"/>
          <w:szCs w:val="24"/>
          <w:lang w:val="es-ES_tradnl"/>
        </w:rPr>
        <w:t>que sustentan</w:t>
      </w:r>
      <w:r w:rsidR="00844A6E" w:rsidRPr="009A3DDF">
        <w:rPr>
          <w:rFonts w:cstheme="minorHAnsi"/>
          <w:sz w:val="24"/>
          <w:szCs w:val="24"/>
          <w:lang w:val="es-ES_tradnl"/>
        </w:rPr>
        <w:t xml:space="preserve"> su propuesta y subrayar los principales riesgos u otros factores que puedan afectar a</w:t>
      </w:r>
      <w:r w:rsidRPr="009A3DDF">
        <w:rPr>
          <w:rFonts w:cstheme="minorHAnsi"/>
          <w:sz w:val="24"/>
          <w:szCs w:val="24"/>
          <w:lang w:val="es-ES_tradnl"/>
        </w:rPr>
        <w:t xml:space="preserve"> </w:t>
      </w:r>
      <w:r w:rsidR="00844A6E" w:rsidRPr="009A3DDF">
        <w:rPr>
          <w:rFonts w:cstheme="minorHAnsi"/>
          <w:sz w:val="24"/>
          <w:szCs w:val="24"/>
          <w:lang w:val="es-ES_tradnl"/>
        </w:rPr>
        <w:t>l</w:t>
      </w:r>
      <w:r w:rsidRPr="009A3DDF">
        <w:rPr>
          <w:rFonts w:cstheme="minorHAnsi"/>
          <w:sz w:val="24"/>
          <w:szCs w:val="24"/>
          <w:lang w:val="es-ES_tradnl"/>
        </w:rPr>
        <w:t>a</w:t>
      </w:r>
      <w:r w:rsidR="00844A6E" w:rsidRPr="009A3DDF">
        <w:rPr>
          <w:rFonts w:cstheme="minorHAnsi"/>
          <w:sz w:val="24"/>
          <w:szCs w:val="24"/>
          <w:lang w:val="es-ES_tradnl"/>
        </w:rPr>
        <w:t xml:space="preserve"> </w:t>
      </w:r>
      <w:r w:rsidRPr="009A3DDF">
        <w:rPr>
          <w:rFonts w:cstheme="minorHAnsi"/>
          <w:sz w:val="24"/>
          <w:szCs w:val="24"/>
          <w:lang w:val="es-ES_tradnl"/>
        </w:rPr>
        <w:t xml:space="preserve">obtención </w:t>
      </w:r>
      <w:r w:rsidR="00844A6E" w:rsidRPr="009A3DDF">
        <w:rPr>
          <w:rFonts w:cstheme="minorHAnsi"/>
          <w:sz w:val="24"/>
          <w:szCs w:val="24"/>
          <w:lang w:val="es-ES_tradnl"/>
        </w:rPr>
        <w:t xml:space="preserve">de resultados. </w:t>
      </w:r>
      <w:r w:rsidR="00265C4E" w:rsidRPr="009A3DDF">
        <w:rPr>
          <w:rFonts w:cstheme="minorHAnsi"/>
          <w:sz w:val="24"/>
          <w:szCs w:val="24"/>
          <w:lang w:val="es-ES_tradnl"/>
        </w:rPr>
        <w:t>Por último</w:t>
      </w:r>
      <w:r w:rsidR="00844A6E" w:rsidRPr="009A3DDF">
        <w:rPr>
          <w:rFonts w:cstheme="minorHAnsi"/>
          <w:sz w:val="24"/>
          <w:szCs w:val="24"/>
          <w:lang w:val="es-ES_tradnl"/>
        </w:rPr>
        <w:t xml:space="preserve">, se espera que las propuestas </w:t>
      </w:r>
      <w:r w:rsidRPr="009A3DDF">
        <w:rPr>
          <w:rFonts w:cstheme="minorHAnsi"/>
          <w:sz w:val="24"/>
          <w:szCs w:val="24"/>
          <w:lang w:val="es-ES_tradnl"/>
        </w:rPr>
        <w:t>definan</w:t>
      </w:r>
      <w:r w:rsidR="00844A6E" w:rsidRPr="009A3DDF">
        <w:rPr>
          <w:rFonts w:cstheme="minorHAnsi"/>
          <w:sz w:val="24"/>
          <w:szCs w:val="24"/>
          <w:lang w:val="es-ES_tradnl"/>
        </w:rPr>
        <w:t xml:space="preserve"> un</w:t>
      </w:r>
      <w:r w:rsidR="00265C4E" w:rsidRPr="009A3DDF">
        <w:rPr>
          <w:rFonts w:cstheme="minorHAnsi"/>
          <w:sz w:val="24"/>
          <w:szCs w:val="24"/>
          <w:lang w:val="es-ES_tradnl"/>
        </w:rPr>
        <w:t>a</w:t>
      </w:r>
      <w:r w:rsidR="00844A6E" w:rsidRPr="009A3DDF">
        <w:rPr>
          <w:rFonts w:cstheme="minorHAnsi"/>
          <w:sz w:val="24"/>
          <w:szCs w:val="24"/>
          <w:lang w:val="es-ES_tradnl"/>
        </w:rPr>
        <w:t xml:space="preserve"> </w:t>
      </w:r>
      <w:r w:rsidR="00265C4E" w:rsidRPr="009A3DDF">
        <w:rPr>
          <w:rFonts w:cstheme="minorHAnsi"/>
          <w:sz w:val="24"/>
          <w:szCs w:val="24"/>
          <w:lang w:val="es-ES_tradnl"/>
        </w:rPr>
        <w:t xml:space="preserve">vía sencilla, clara y concreta </w:t>
      </w:r>
      <w:r w:rsidR="00844A6E" w:rsidRPr="009A3DDF">
        <w:rPr>
          <w:rFonts w:cstheme="minorHAnsi"/>
          <w:sz w:val="24"/>
          <w:szCs w:val="24"/>
          <w:lang w:val="es-ES_tradnl"/>
        </w:rPr>
        <w:t>hacia el logro de resultados.</w:t>
      </w:r>
    </w:p>
    <w:p w14:paraId="16D99E45" w14:textId="40EA750C" w:rsidR="00844A6E" w:rsidRPr="009A3DDF" w:rsidRDefault="00844A6E" w:rsidP="00616CE5">
      <w:pPr>
        <w:spacing w:line="240" w:lineRule="auto"/>
        <w:jc w:val="both"/>
        <w:rPr>
          <w:rFonts w:cstheme="minorHAnsi"/>
          <w:sz w:val="24"/>
          <w:szCs w:val="24"/>
          <w:lang w:val="es-ES_tradnl"/>
        </w:rPr>
      </w:pPr>
      <w:r w:rsidRPr="009A3DDF">
        <w:rPr>
          <w:rFonts w:cstheme="minorHAnsi"/>
          <w:sz w:val="24"/>
          <w:szCs w:val="24"/>
          <w:lang w:val="es-ES_tradnl"/>
        </w:rPr>
        <w:lastRenderedPageBreak/>
        <w:t xml:space="preserve">El organismo de ejecución propuesto </w:t>
      </w:r>
      <w:r w:rsidR="009B4E8B" w:rsidRPr="009A3DDF">
        <w:rPr>
          <w:rFonts w:cstheme="minorHAnsi"/>
          <w:sz w:val="24"/>
          <w:szCs w:val="24"/>
          <w:lang w:val="es-ES_tradnl"/>
        </w:rPr>
        <w:t>deberá</w:t>
      </w:r>
      <w:r w:rsidRPr="009A3DDF">
        <w:rPr>
          <w:rFonts w:cstheme="minorHAnsi"/>
          <w:sz w:val="24"/>
          <w:szCs w:val="24"/>
          <w:lang w:val="es-ES_tradnl"/>
        </w:rPr>
        <w:t xml:space="preserve"> demostrar su capacidad y su experiencia previa en ejecución de proyectos de esta naturaleza, en particular la capacidad para consultar </w:t>
      </w:r>
      <w:r w:rsidR="009B4E8B" w:rsidRPr="009A3DDF">
        <w:rPr>
          <w:rFonts w:cstheme="minorHAnsi"/>
          <w:sz w:val="24"/>
          <w:szCs w:val="24"/>
          <w:lang w:val="es-ES_tradnl"/>
        </w:rPr>
        <w:t xml:space="preserve">a </w:t>
      </w:r>
      <w:r w:rsidRPr="009A3DDF">
        <w:rPr>
          <w:rFonts w:cstheme="minorHAnsi"/>
          <w:sz w:val="24"/>
          <w:szCs w:val="24"/>
          <w:lang w:val="es-ES_tradnl"/>
        </w:rPr>
        <w:t>grupos clave de la sociedad civil, responder a sus dudas y problemas y lograr su aceptación en todas las etapas descritas en la propuesta.</w:t>
      </w:r>
    </w:p>
    <w:p w14:paraId="1D387AE1" w14:textId="7631C42A" w:rsidR="00E20A19" w:rsidRPr="009A3DDF" w:rsidRDefault="00844A6E" w:rsidP="00616CE5">
      <w:pPr>
        <w:spacing w:after="0" w:line="240" w:lineRule="auto"/>
        <w:jc w:val="both"/>
        <w:rPr>
          <w:rFonts w:cstheme="minorHAnsi"/>
          <w:sz w:val="24"/>
          <w:szCs w:val="24"/>
          <w:lang w:val="es-ES_tradnl"/>
        </w:rPr>
      </w:pPr>
      <w:r w:rsidRPr="009A3DDF">
        <w:rPr>
          <w:rFonts w:cstheme="minorHAnsi"/>
          <w:sz w:val="24"/>
          <w:szCs w:val="24"/>
          <w:lang w:val="es-ES_tradnl"/>
        </w:rPr>
        <w:t xml:space="preserve">Unitaid </w:t>
      </w:r>
      <w:r w:rsidR="009B4E8B" w:rsidRPr="009A3DDF">
        <w:rPr>
          <w:rFonts w:cstheme="minorHAnsi"/>
          <w:sz w:val="24"/>
          <w:szCs w:val="24"/>
          <w:lang w:val="es-ES_tradnl"/>
        </w:rPr>
        <w:t>estudiará</w:t>
      </w:r>
      <w:r w:rsidRPr="009A3DDF">
        <w:rPr>
          <w:rFonts w:cstheme="minorHAnsi"/>
          <w:sz w:val="24"/>
          <w:szCs w:val="24"/>
          <w:lang w:val="es-ES_tradnl"/>
        </w:rPr>
        <w:t xml:space="preserve"> todas las candidaturas que se le envíen, pero se reserva el derecho de no financiar todas las esferas escritas en la presente solicitud para la presentación de candidaturas. Asimismo, se podrán asignar fondos a más de un candidato</w:t>
      </w:r>
      <w:r w:rsidR="006454AE" w:rsidRPr="009A3DDF">
        <w:rPr>
          <w:rFonts w:cstheme="minorHAnsi"/>
          <w:sz w:val="24"/>
          <w:szCs w:val="24"/>
          <w:lang w:val="es-ES_tradnl"/>
        </w:rPr>
        <w:t>.</w:t>
      </w:r>
      <w:r w:rsidR="00E20A19" w:rsidRPr="009A3DDF">
        <w:rPr>
          <w:rFonts w:cstheme="minorHAnsi"/>
          <w:sz w:val="24"/>
          <w:szCs w:val="24"/>
          <w:lang w:val="es-ES_tradnl"/>
        </w:rPr>
        <w:t xml:space="preserve"> </w:t>
      </w:r>
    </w:p>
    <w:p w14:paraId="1ACEC815" w14:textId="202FC17D" w:rsidR="00DC0A97" w:rsidRPr="009A3DDF" w:rsidRDefault="00DC0A97" w:rsidP="00450B76">
      <w:pPr>
        <w:spacing w:after="0" w:line="240" w:lineRule="auto"/>
        <w:jc w:val="both"/>
        <w:rPr>
          <w:rFonts w:cstheme="minorHAnsi"/>
          <w:b/>
          <w:sz w:val="24"/>
          <w:szCs w:val="24"/>
          <w:lang w:val="es-ES_tradnl"/>
        </w:rPr>
      </w:pPr>
    </w:p>
    <w:p w14:paraId="09DE85E7" w14:textId="516B3D95" w:rsidR="007A390B" w:rsidRPr="009A3DDF" w:rsidRDefault="00844A6E" w:rsidP="00450B76">
      <w:pPr>
        <w:spacing w:after="0" w:line="240" w:lineRule="auto"/>
        <w:jc w:val="both"/>
        <w:rPr>
          <w:rFonts w:cstheme="minorHAnsi"/>
          <w:b/>
          <w:sz w:val="24"/>
          <w:szCs w:val="24"/>
          <w:lang w:val="es-ES_tradnl"/>
        </w:rPr>
      </w:pPr>
      <w:r w:rsidRPr="009A3DDF">
        <w:rPr>
          <w:rFonts w:cstheme="minorHAnsi"/>
          <w:b/>
          <w:sz w:val="24"/>
          <w:szCs w:val="24"/>
          <w:lang w:val="es-ES_tradnl"/>
        </w:rPr>
        <w:t>Fechas importantes</w:t>
      </w:r>
      <w:r w:rsidR="007A390B" w:rsidRPr="009A3DDF">
        <w:rPr>
          <w:rFonts w:cstheme="minorHAnsi"/>
          <w:b/>
          <w:sz w:val="24"/>
          <w:szCs w:val="24"/>
          <w:lang w:val="es-ES_tradnl"/>
        </w:rPr>
        <w:t>:</w:t>
      </w:r>
    </w:p>
    <w:p w14:paraId="38C3B234" w14:textId="77777777" w:rsidR="00B20976" w:rsidRPr="009A3DDF" w:rsidRDefault="00B20976" w:rsidP="00450B76">
      <w:pPr>
        <w:spacing w:after="0" w:line="240" w:lineRule="auto"/>
        <w:jc w:val="both"/>
        <w:rPr>
          <w:rFonts w:eastAsia="SimSun" w:cstheme="minorHAnsi"/>
          <w:sz w:val="24"/>
          <w:szCs w:val="24"/>
          <w:lang w:val="es-ES_tradnl"/>
        </w:rPr>
      </w:pPr>
    </w:p>
    <w:p w14:paraId="46985313" w14:textId="144A1630" w:rsidR="00B20976" w:rsidRPr="009A3DDF" w:rsidRDefault="00412345" w:rsidP="00450B76">
      <w:pPr>
        <w:spacing w:after="0" w:line="240" w:lineRule="auto"/>
        <w:jc w:val="both"/>
        <w:rPr>
          <w:rFonts w:eastAsia="SimSun" w:cstheme="minorHAnsi"/>
          <w:color w:val="000000" w:themeColor="text1"/>
          <w:sz w:val="24"/>
          <w:szCs w:val="24"/>
          <w:lang w:val="es-ES_tradnl"/>
        </w:rPr>
      </w:pPr>
      <w:r w:rsidRPr="009A3DDF">
        <w:rPr>
          <w:rFonts w:cstheme="minorHAnsi"/>
          <w:color w:val="000000" w:themeColor="text1"/>
          <w:sz w:val="24"/>
          <w:szCs w:val="24"/>
          <w:lang w:val="es-ES_tradnl"/>
        </w:rPr>
        <w:t>Para presentar</w:t>
      </w:r>
      <w:r w:rsidR="00844A6E" w:rsidRPr="009A3DDF">
        <w:rPr>
          <w:rFonts w:cstheme="minorHAnsi"/>
          <w:color w:val="000000" w:themeColor="text1"/>
          <w:sz w:val="24"/>
          <w:szCs w:val="24"/>
          <w:lang w:val="es-ES_tradnl"/>
        </w:rPr>
        <w:t xml:space="preserve"> una propuesta</w:t>
      </w:r>
      <w:r w:rsidRPr="009A3DDF">
        <w:rPr>
          <w:rFonts w:cstheme="minorHAnsi"/>
          <w:color w:val="000000" w:themeColor="text1"/>
          <w:sz w:val="24"/>
          <w:szCs w:val="24"/>
          <w:lang w:val="es-ES_tradnl"/>
        </w:rPr>
        <w:t xml:space="preserve"> </w:t>
      </w:r>
      <w:r w:rsidR="00844A6E" w:rsidRPr="009A3DDF">
        <w:rPr>
          <w:rFonts w:cstheme="minorHAnsi"/>
          <w:color w:val="000000" w:themeColor="text1"/>
          <w:sz w:val="24"/>
          <w:szCs w:val="24"/>
          <w:lang w:val="es-ES_tradnl"/>
        </w:rPr>
        <w:t>se debe cumplimentar el [</w:t>
      </w:r>
      <w:hyperlink r:id="rId9" w:history="1">
        <w:r w:rsidR="00844A6E" w:rsidRPr="009A3DDF">
          <w:rPr>
            <w:rStyle w:val="Hyperlink"/>
            <w:rFonts w:cstheme="minorHAnsi"/>
            <w:color w:val="000000" w:themeColor="text1"/>
            <w:sz w:val="24"/>
            <w:szCs w:val="24"/>
            <w:u w:val="none"/>
            <w:lang w:val="es-ES_tradnl"/>
          </w:rPr>
          <w:t>formulario de intención de presentación de propuesta</w:t>
        </w:r>
      </w:hyperlink>
      <w:r w:rsidR="00844A6E" w:rsidRPr="009A3DDF">
        <w:rPr>
          <w:rFonts w:cstheme="minorHAnsi"/>
          <w:color w:val="000000" w:themeColor="text1"/>
          <w:sz w:val="24"/>
          <w:szCs w:val="24"/>
          <w:lang w:val="es-ES_tradnl"/>
        </w:rPr>
        <w:t xml:space="preserve"> (ISP) DOC, 30 KB] </w:t>
      </w:r>
      <w:r w:rsidRPr="009A3DDF">
        <w:rPr>
          <w:rFonts w:cstheme="minorHAnsi"/>
          <w:color w:val="000000" w:themeColor="text1"/>
          <w:sz w:val="24"/>
          <w:szCs w:val="24"/>
          <w:lang w:val="es-ES_tradnl"/>
        </w:rPr>
        <w:t xml:space="preserve">y enviarlo </w:t>
      </w:r>
      <w:r w:rsidR="00844A6E" w:rsidRPr="009A3DDF">
        <w:rPr>
          <w:rFonts w:cstheme="minorHAnsi"/>
          <w:color w:val="000000" w:themeColor="text1"/>
          <w:sz w:val="24"/>
          <w:szCs w:val="24"/>
          <w:lang w:val="es-ES_tradnl"/>
        </w:rPr>
        <w:t>a </w:t>
      </w:r>
      <w:hyperlink r:id="rId10" w:history="1">
        <w:r w:rsidR="00C43FF1" w:rsidRPr="009A3DDF">
          <w:rPr>
            <w:rStyle w:val="Hyperlink"/>
            <w:rFonts w:cstheme="minorHAnsi"/>
            <w:color w:val="000000" w:themeColor="text1"/>
            <w:sz w:val="24"/>
            <w:szCs w:val="24"/>
            <w:u w:val="none"/>
            <w:lang w:val="es-ES_tradnl"/>
          </w:rPr>
          <w:t>proposals</w:t>
        </w:r>
        <w:r w:rsidR="00BA6555" w:rsidRPr="009A3DDF">
          <w:rPr>
            <w:rStyle w:val="Hyperlink"/>
            <w:rFonts w:cstheme="minorHAnsi"/>
            <w:color w:val="000000" w:themeColor="text1"/>
            <w:sz w:val="24"/>
            <w:szCs w:val="24"/>
            <w:u w:val="none"/>
            <w:lang w:val="es-ES_tradnl"/>
          </w:rPr>
          <w:t>U</w:t>
        </w:r>
        <w:r w:rsidR="00C43FF1" w:rsidRPr="009A3DDF">
          <w:rPr>
            <w:rStyle w:val="Hyperlink"/>
            <w:rFonts w:cstheme="minorHAnsi"/>
            <w:color w:val="000000" w:themeColor="text1"/>
            <w:sz w:val="24"/>
            <w:szCs w:val="24"/>
            <w:u w:val="none"/>
            <w:lang w:val="es-ES_tradnl"/>
          </w:rPr>
          <w:t>nitaid@who.int</w:t>
        </w:r>
      </w:hyperlink>
      <w:r w:rsidR="00474F94">
        <w:rPr>
          <w:rFonts w:cstheme="minorHAnsi"/>
          <w:color w:val="000000" w:themeColor="text1"/>
          <w:sz w:val="24"/>
          <w:szCs w:val="24"/>
          <w:lang w:val="es-ES_tradnl"/>
        </w:rPr>
        <w:t xml:space="preserve"> hasta </w:t>
      </w:r>
      <w:r w:rsidR="00844A6E" w:rsidRPr="009A3DDF">
        <w:rPr>
          <w:rFonts w:cstheme="minorHAnsi"/>
          <w:b/>
          <w:bCs/>
          <w:color w:val="000000" w:themeColor="text1"/>
          <w:sz w:val="24"/>
          <w:szCs w:val="24"/>
          <w:lang w:val="es-ES_tradnl"/>
        </w:rPr>
        <w:t xml:space="preserve">el </w:t>
      </w:r>
      <w:r w:rsidR="00844A6E" w:rsidRPr="009A3DDF">
        <w:rPr>
          <w:rFonts w:cstheme="minorHAnsi"/>
          <w:b/>
          <w:color w:val="000000" w:themeColor="text1"/>
          <w:sz w:val="24"/>
          <w:szCs w:val="24"/>
          <w:lang w:val="es-ES_tradnl"/>
        </w:rPr>
        <w:t>4 de marzo de 2019</w:t>
      </w:r>
      <w:r w:rsidR="00B20976" w:rsidRPr="009A3DDF">
        <w:rPr>
          <w:rFonts w:eastAsia="SimSun" w:cstheme="minorHAnsi"/>
          <w:b/>
          <w:bCs/>
          <w:color w:val="000000" w:themeColor="text1"/>
          <w:sz w:val="24"/>
          <w:szCs w:val="24"/>
          <w:lang w:val="es-ES_tradnl"/>
        </w:rPr>
        <w:t>.</w:t>
      </w:r>
    </w:p>
    <w:p w14:paraId="5CB7E61A" w14:textId="77777777" w:rsidR="00B20976" w:rsidRPr="009A3DDF" w:rsidRDefault="00B20976" w:rsidP="00450B76">
      <w:pPr>
        <w:spacing w:after="0" w:line="240" w:lineRule="auto"/>
        <w:jc w:val="both"/>
        <w:rPr>
          <w:rFonts w:eastAsia="SimSun" w:cstheme="minorHAnsi"/>
          <w:color w:val="000000" w:themeColor="text1"/>
          <w:sz w:val="24"/>
          <w:szCs w:val="24"/>
          <w:lang w:val="es-ES_tradnl"/>
        </w:rPr>
      </w:pPr>
    </w:p>
    <w:p w14:paraId="79D1F12D" w14:textId="288CE393" w:rsidR="00844A6E" w:rsidRPr="009A3DDF" w:rsidRDefault="00844A6E" w:rsidP="00450B76">
      <w:pPr>
        <w:spacing w:after="0" w:line="240" w:lineRule="auto"/>
        <w:jc w:val="both"/>
        <w:rPr>
          <w:rFonts w:cstheme="minorHAnsi"/>
          <w:color w:val="000000" w:themeColor="text1"/>
          <w:sz w:val="24"/>
          <w:szCs w:val="24"/>
          <w:lang w:val="es-ES_tradnl"/>
        </w:rPr>
      </w:pPr>
      <w:r w:rsidRPr="009A3DDF">
        <w:rPr>
          <w:rFonts w:cstheme="minorHAnsi"/>
          <w:color w:val="000000" w:themeColor="text1"/>
          <w:lang w:val="es-ES_tradnl"/>
        </w:rPr>
        <w:t xml:space="preserve">La </w:t>
      </w:r>
      <w:r w:rsidRPr="009A3DDF">
        <w:rPr>
          <w:rFonts w:cstheme="minorHAnsi"/>
          <w:color w:val="000000" w:themeColor="text1"/>
          <w:sz w:val="24"/>
          <w:szCs w:val="24"/>
          <w:lang w:val="es-ES_tradnl"/>
        </w:rPr>
        <w:t xml:space="preserve">fecha límite para la recepción de las propuestas completas es </w:t>
      </w:r>
      <w:r w:rsidRPr="009A3DDF">
        <w:rPr>
          <w:rFonts w:cstheme="minorHAnsi"/>
          <w:b/>
          <w:color w:val="000000" w:themeColor="text1"/>
          <w:sz w:val="24"/>
          <w:szCs w:val="24"/>
          <w:lang w:val="es-ES_tradnl"/>
        </w:rPr>
        <w:t>el 23 de abril de 20</w:t>
      </w:r>
      <w:r w:rsidR="00450B76" w:rsidRPr="009A3DDF">
        <w:rPr>
          <w:rFonts w:cstheme="minorHAnsi"/>
          <w:b/>
          <w:color w:val="000000" w:themeColor="text1"/>
          <w:sz w:val="24"/>
          <w:szCs w:val="24"/>
          <w:lang w:val="es-ES_tradnl"/>
        </w:rPr>
        <w:t>19</w:t>
      </w:r>
      <w:r w:rsidR="00B16F9E" w:rsidRPr="009A3DDF">
        <w:rPr>
          <w:rFonts w:cstheme="minorHAnsi"/>
          <w:color w:val="000000" w:themeColor="text1"/>
          <w:sz w:val="24"/>
          <w:szCs w:val="24"/>
          <w:lang w:val="es-ES_tradnl"/>
        </w:rPr>
        <w:t xml:space="preserve"> a las </w:t>
      </w:r>
      <w:r w:rsidRPr="009A3DDF">
        <w:rPr>
          <w:rFonts w:cstheme="minorHAnsi"/>
          <w:b/>
          <w:color w:val="000000" w:themeColor="text1"/>
          <w:sz w:val="24"/>
          <w:szCs w:val="24"/>
          <w:lang w:val="es-ES_tradnl"/>
        </w:rPr>
        <w:t>12.00 del mediodía, horario de Ginebra (Suiza)</w:t>
      </w:r>
      <w:r w:rsidRPr="009A3DDF">
        <w:rPr>
          <w:rFonts w:cstheme="minorHAnsi"/>
          <w:color w:val="000000" w:themeColor="text1"/>
          <w:sz w:val="24"/>
          <w:szCs w:val="24"/>
          <w:lang w:val="es-ES_tradnl"/>
        </w:rPr>
        <w:t>. Las solicitudes recibidas después de esa fecha límite no se tendrán en cuenta.</w:t>
      </w:r>
      <w:r w:rsidR="00F51A5E" w:rsidRPr="009A3DDF">
        <w:rPr>
          <w:rFonts w:cstheme="minorHAnsi"/>
          <w:color w:val="000000" w:themeColor="text1"/>
          <w:sz w:val="24"/>
          <w:szCs w:val="24"/>
          <w:lang w:val="es-ES_tradnl"/>
        </w:rPr>
        <w:t xml:space="preserve"> </w:t>
      </w:r>
    </w:p>
    <w:p w14:paraId="061E4BDB" w14:textId="77777777" w:rsidR="00844A6E" w:rsidRPr="009A3DDF" w:rsidRDefault="00844A6E" w:rsidP="00450B76">
      <w:pPr>
        <w:spacing w:after="0" w:line="240" w:lineRule="auto"/>
        <w:jc w:val="both"/>
        <w:rPr>
          <w:rFonts w:cstheme="minorHAnsi"/>
          <w:color w:val="000000" w:themeColor="text1"/>
          <w:sz w:val="24"/>
          <w:szCs w:val="24"/>
          <w:lang w:val="es-ES_tradnl"/>
        </w:rPr>
      </w:pPr>
    </w:p>
    <w:p w14:paraId="5350B174" w14:textId="0025F8B6" w:rsidR="00844A6E" w:rsidRPr="009A3DDF" w:rsidRDefault="00844A6E" w:rsidP="00450B76">
      <w:pPr>
        <w:spacing w:after="0" w:line="240" w:lineRule="auto"/>
        <w:jc w:val="both"/>
        <w:rPr>
          <w:rFonts w:cstheme="minorHAnsi"/>
          <w:color w:val="000000" w:themeColor="text1"/>
          <w:sz w:val="24"/>
          <w:szCs w:val="24"/>
          <w:lang w:val="es-ES_tradnl"/>
        </w:rPr>
      </w:pPr>
      <w:r w:rsidRPr="009A3DDF">
        <w:rPr>
          <w:rFonts w:cstheme="minorHAnsi"/>
          <w:b/>
          <w:color w:val="000000" w:themeColor="text1"/>
          <w:sz w:val="24"/>
          <w:szCs w:val="24"/>
          <w:lang w:val="es-ES_tradnl"/>
        </w:rPr>
        <w:t xml:space="preserve">Nota: </w:t>
      </w:r>
      <w:r w:rsidR="00B20867" w:rsidRPr="009A3DDF">
        <w:rPr>
          <w:rFonts w:cstheme="minorHAnsi"/>
          <w:b/>
          <w:color w:val="000000" w:themeColor="text1"/>
          <w:sz w:val="24"/>
          <w:szCs w:val="24"/>
          <w:lang w:val="es-ES_tradnl"/>
        </w:rPr>
        <w:t>las</w:t>
      </w:r>
      <w:r w:rsidRPr="009A3DDF">
        <w:rPr>
          <w:rFonts w:cstheme="minorHAnsi"/>
          <w:b/>
          <w:color w:val="000000" w:themeColor="text1"/>
          <w:sz w:val="24"/>
          <w:szCs w:val="24"/>
          <w:lang w:val="es-ES_tradnl"/>
        </w:rPr>
        <w:t xml:space="preserve"> propuesta</w:t>
      </w:r>
      <w:r w:rsidR="00B20867" w:rsidRPr="009A3DDF">
        <w:rPr>
          <w:rFonts w:cstheme="minorHAnsi"/>
          <w:b/>
          <w:color w:val="000000" w:themeColor="text1"/>
          <w:sz w:val="24"/>
          <w:szCs w:val="24"/>
          <w:lang w:val="es-ES_tradnl"/>
        </w:rPr>
        <w:t>s</w:t>
      </w:r>
      <w:r w:rsidRPr="009A3DDF">
        <w:rPr>
          <w:rFonts w:cstheme="minorHAnsi"/>
          <w:b/>
          <w:color w:val="000000" w:themeColor="text1"/>
          <w:sz w:val="24"/>
          <w:szCs w:val="24"/>
          <w:lang w:val="es-ES_tradnl"/>
        </w:rPr>
        <w:t xml:space="preserve"> se considera</w:t>
      </w:r>
      <w:r w:rsidR="00B20867" w:rsidRPr="009A3DDF">
        <w:rPr>
          <w:rFonts w:cstheme="minorHAnsi"/>
          <w:b/>
          <w:color w:val="000000" w:themeColor="text1"/>
          <w:sz w:val="24"/>
          <w:szCs w:val="24"/>
          <w:lang w:val="es-ES_tradnl"/>
        </w:rPr>
        <w:t xml:space="preserve">rán presentadas </w:t>
      </w:r>
      <w:r w:rsidRPr="009A3DDF">
        <w:rPr>
          <w:rFonts w:cstheme="minorHAnsi"/>
          <w:b/>
          <w:color w:val="000000" w:themeColor="text1"/>
          <w:sz w:val="24"/>
          <w:szCs w:val="24"/>
          <w:lang w:val="es-ES_tradnl"/>
        </w:rPr>
        <w:t>cuando el solicitante ha</w:t>
      </w:r>
      <w:r w:rsidR="00B20867" w:rsidRPr="009A3DDF">
        <w:rPr>
          <w:rFonts w:cstheme="minorHAnsi"/>
          <w:b/>
          <w:color w:val="000000" w:themeColor="text1"/>
          <w:sz w:val="24"/>
          <w:szCs w:val="24"/>
          <w:lang w:val="es-ES_tradnl"/>
        </w:rPr>
        <w:t>ya</w:t>
      </w:r>
      <w:r w:rsidRPr="009A3DDF">
        <w:rPr>
          <w:rFonts w:cstheme="minorHAnsi"/>
          <w:b/>
          <w:color w:val="000000" w:themeColor="text1"/>
          <w:sz w:val="24"/>
          <w:szCs w:val="24"/>
          <w:lang w:val="es-ES_tradnl"/>
        </w:rPr>
        <w:t xml:space="preserve"> recibido un correo electrónico de confirmación de recepción remitido desde Unitaid</w:t>
      </w:r>
      <w:r w:rsidRPr="009A3DDF">
        <w:rPr>
          <w:rFonts w:cstheme="minorHAnsi"/>
          <w:color w:val="000000" w:themeColor="text1"/>
          <w:sz w:val="24"/>
          <w:szCs w:val="24"/>
          <w:lang w:val="es-ES_tradnl"/>
        </w:rPr>
        <w:t>.</w:t>
      </w:r>
    </w:p>
    <w:p w14:paraId="33253C8A" w14:textId="77777777" w:rsidR="00844A6E" w:rsidRPr="009A3DDF" w:rsidRDefault="00844A6E" w:rsidP="00450B76">
      <w:pPr>
        <w:spacing w:after="0" w:line="240" w:lineRule="auto"/>
        <w:jc w:val="both"/>
        <w:rPr>
          <w:rFonts w:cstheme="minorHAnsi"/>
          <w:color w:val="000000" w:themeColor="text1"/>
          <w:sz w:val="24"/>
          <w:szCs w:val="24"/>
          <w:lang w:val="es-ES_tradnl"/>
        </w:rPr>
      </w:pPr>
    </w:p>
    <w:p w14:paraId="7AEBC045" w14:textId="169F7DEC" w:rsidR="00844A6E" w:rsidRPr="009A3DDF" w:rsidRDefault="00844A6E" w:rsidP="00CE3D00">
      <w:pPr>
        <w:pStyle w:val="std"/>
        <w:jc w:val="both"/>
        <w:rPr>
          <w:rFonts w:asciiTheme="minorHAnsi" w:hAnsiTheme="minorHAnsi" w:cstheme="minorHAnsi"/>
          <w:lang w:val="es-ES_tradnl"/>
        </w:rPr>
      </w:pPr>
      <w:r w:rsidRPr="009A3DDF">
        <w:rPr>
          <w:rFonts w:asciiTheme="minorHAnsi" w:hAnsiTheme="minorHAnsi" w:cstheme="minorHAnsi"/>
          <w:color w:val="000000" w:themeColor="text1"/>
          <w:lang w:val="es-ES_tradnl"/>
        </w:rPr>
        <w:t xml:space="preserve">Las propuestas, con todos </w:t>
      </w:r>
      <w:r w:rsidR="00B20867" w:rsidRPr="009A3DDF">
        <w:rPr>
          <w:rFonts w:asciiTheme="minorHAnsi" w:hAnsiTheme="minorHAnsi" w:cstheme="minorHAnsi"/>
          <w:color w:val="000000" w:themeColor="text1"/>
          <w:lang w:val="es-ES_tradnl"/>
        </w:rPr>
        <w:t>sus</w:t>
      </w:r>
      <w:r w:rsidRPr="009A3DDF">
        <w:rPr>
          <w:rFonts w:asciiTheme="minorHAnsi" w:hAnsiTheme="minorHAnsi" w:cstheme="minorHAnsi"/>
          <w:color w:val="000000" w:themeColor="text1"/>
          <w:lang w:val="es-ES_tradnl"/>
        </w:rPr>
        <w:t xml:space="preserve"> anexos, debe</w:t>
      </w:r>
      <w:r w:rsidR="00B20867" w:rsidRPr="009A3DDF">
        <w:rPr>
          <w:rFonts w:asciiTheme="minorHAnsi" w:hAnsiTheme="minorHAnsi" w:cstheme="minorHAnsi"/>
          <w:color w:val="000000" w:themeColor="text1"/>
          <w:lang w:val="es-ES_tradnl"/>
        </w:rPr>
        <w:t>rá</w:t>
      </w:r>
      <w:r w:rsidRPr="009A3DDF">
        <w:rPr>
          <w:rFonts w:asciiTheme="minorHAnsi" w:hAnsiTheme="minorHAnsi" w:cstheme="minorHAnsi"/>
          <w:color w:val="000000" w:themeColor="text1"/>
          <w:lang w:val="es-ES_tradnl"/>
        </w:rPr>
        <w:t xml:space="preserve">n remitirse en formato electrónico a </w:t>
      </w:r>
      <w:hyperlink r:id="rId11" w:history="1">
        <w:r w:rsidRPr="009A3DDF">
          <w:rPr>
            <w:rStyle w:val="Hyperlink"/>
            <w:rFonts w:asciiTheme="minorHAnsi" w:hAnsiTheme="minorHAnsi" w:cstheme="minorHAnsi"/>
            <w:color w:val="000000" w:themeColor="text1"/>
            <w:u w:val="none"/>
            <w:lang w:val="es-ES_tradnl"/>
          </w:rPr>
          <w:t>proposals</w:t>
        </w:r>
        <w:r w:rsidR="00A45979" w:rsidRPr="009A3DDF">
          <w:rPr>
            <w:rStyle w:val="Hyperlink"/>
            <w:rFonts w:asciiTheme="minorHAnsi" w:hAnsiTheme="minorHAnsi" w:cstheme="minorHAnsi"/>
            <w:color w:val="000000" w:themeColor="text1"/>
            <w:u w:val="none"/>
            <w:lang w:val="es-ES_tradnl"/>
          </w:rPr>
          <w:t>U</w:t>
        </w:r>
        <w:r w:rsidRPr="009A3DDF">
          <w:rPr>
            <w:rStyle w:val="Hyperlink"/>
            <w:rFonts w:asciiTheme="minorHAnsi" w:hAnsiTheme="minorHAnsi" w:cstheme="minorHAnsi"/>
            <w:color w:val="000000" w:themeColor="text1"/>
            <w:u w:val="none"/>
            <w:lang w:val="es-ES_tradnl"/>
          </w:rPr>
          <w:t>nitaid@who.int</w:t>
        </w:r>
      </w:hyperlink>
      <w:r w:rsidRPr="009A3DDF">
        <w:rPr>
          <w:rFonts w:asciiTheme="minorHAnsi" w:hAnsiTheme="minorHAnsi" w:cstheme="minorHAnsi"/>
          <w:color w:val="000000" w:themeColor="text1"/>
          <w:lang w:val="es-ES_tradnl"/>
        </w:rPr>
        <w:t>.</w:t>
      </w:r>
      <w:r w:rsidR="00B20867" w:rsidRPr="009A3DDF">
        <w:rPr>
          <w:rFonts w:cstheme="minorHAnsi"/>
          <w:color w:val="000000" w:themeColor="text1"/>
          <w:lang w:val="es-ES_tradnl"/>
        </w:rPr>
        <w:t xml:space="preserve"> </w:t>
      </w:r>
      <w:r w:rsidR="00B20867" w:rsidRPr="009A3DDF">
        <w:rPr>
          <w:rFonts w:asciiTheme="minorHAnsi" w:hAnsiTheme="minorHAnsi" w:cstheme="minorHAnsi"/>
          <w:color w:val="000000" w:themeColor="text1"/>
          <w:lang w:val="es-ES_tradnl"/>
        </w:rPr>
        <w:t xml:space="preserve">Las </w:t>
      </w:r>
      <w:r w:rsidRPr="009A3DDF">
        <w:rPr>
          <w:rFonts w:asciiTheme="minorHAnsi" w:hAnsiTheme="minorHAnsi" w:cstheme="minorHAnsi"/>
          <w:color w:val="000000" w:themeColor="text1"/>
          <w:lang w:val="es-ES_tradnl"/>
        </w:rPr>
        <w:t xml:space="preserve">propuestas </w:t>
      </w:r>
      <w:r w:rsidR="00B20867" w:rsidRPr="009A3DDF">
        <w:rPr>
          <w:rFonts w:asciiTheme="minorHAnsi" w:hAnsiTheme="minorHAnsi" w:cstheme="minorHAnsi"/>
          <w:color w:val="000000" w:themeColor="text1"/>
          <w:lang w:val="es-ES_tradnl"/>
        </w:rPr>
        <w:t xml:space="preserve">completas </w:t>
      </w:r>
      <w:r w:rsidRPr="009A3DDF">
        <w:rPr>
          <w:rFonts w:asciiTheme="minorHAnsi" w:hAnsiTheme="minorHAnsi" w:cstheme="minorHAnsi"/>
          <w:color w:val="000000" w:themeColor="text1"/>
          <w:lang w:val="es-ES_tradnl"/>
        </w:rPr>
        <w:t xml:space="preserve">deberán constar de los siguientes </w:t>
      </w:r>
      <w:r w:rsidR="00743F69" w:rsidRPr="009A3DDF">
        <w:rPr>
          <w:rFonts w:asciiTheme="minorHAnsi" w:hAnsiTheme="minorHAnsi" w:cstheme="minorHAnsi"/>
          <w:lang w:val="es-ES_tradnl"/>
        </w:rPr>
        <w:t>documentos:</w:t>
      </w:r>
    </w:p>
    <w:p w14:paraId="413C0F54" w14:textId="1B335670" w:rsidR="00844A6E" w:rsidRPr="009A3DDF" w:rsidRDefault="00844A6E" w:rsidP="00450B76">
      <w:pPr>
        <w:pStyle w:val="std"/>
        <w:rPr>
          <w:rFonts w:asciiTheme="minorHAnsi" w:hAnsiTheme="minorHAnsi" w:cstheme="minorHAnsi"/>
          <w:lang w:val="es-ES_tradnl"/>
        </w:rPr>
      </w:pPr>
    </w:p>
    <w:p w14:paraId="3824D186" w14:textId="2445FC44" w:rsidR="00844A6E" w:rsidRPr="009A3DDF" w:rsidRDefault="00844A6E" w:rsidP="00224C34">
      <w:pPr>
        <w:pStyle w:val="std"/>
        <w:numPr>
          <w:ilvl w:val="0"/>
          <w:numId w:val="18"/>
        </w:numPr>
        <w:ind w:left="567" w:hanging="283"/>
        <w:rPr>
          <w:rFonts w:asciiTheme="minorHAnsi" w:hAnsiTheme="minorHAnsi" w:cstheme="minorHAnsi"/>
          <w:lang w:val="es-ES_tradnl"/>
        </w:rPr>
      </w:pPr>
      <w:r w:rsidRPr="009A3DDF">
        <w:rPr>
          <w:rFonts w:asciiTheme="minorHAnsi" w:hAnsiTheme="minorHAnsi" w:cstheme="minorHAnsi"/>
          <w:lang w:val="es-ES_tradnl"/>
        </w:rPr>
        <w:t>Formulario de propuesta.</w:t>
      </w:r>
    </w:p>
    <w:p w14:paraId="7786CA82" w14:textId="16B9C8DD" w:rsidR="00844A6E" w:rsidRPr="009A3DDF" w:rsidRDefault="00844A6E" w:rsidP="00224C34">
      <w:pPr>
        <w:pStyle w:val="std"/>
        <w:numPr>
          <w:ilvl w:val="0"/>
          <w:numId w:val="18"/>
        </w:numPr>
        <w:ind w:left="567" w:hanging="283"/>
        <w:rPr>
          <w:rFonts w:asciiTheme="minorHAnsi" w:hAnsiTheme="minorHAnsi" w:cstheme="minorHAnsi"/>
          <w:lang w:val="es-ES_tradnl"/>
        </w:rPr>
      </w:pPr>
      <w:r w:rsidRPr="009A3DDF">
        <w:rPr>
          <w:rFonts w:asciiTheme="minorHAnsi" w:hAnsiTheme="minorHAnsi" w:cstheme="minorHAnsi"/>
          <w:lang w:val="es-ES_tradnl"/>
        </w:rPr>
        <w:t>Anexo 1: Marco lógico [plantilla].</w:t>
      </w:r>
    </w:p>
    <w:p w14:paraId="0913CC59" w14:textId="7AB25374" w:rsidR="00844A6E" w:rsidRPr="009A3DDF" w:rsidRDefault="00844A6E" w:rsidP="00224C34">
      <w:pPr>
        <w:pStyle w:val="std"/>
        <w:numPr>
          <w:ilvl w:val="0"/>
          <w:numId w:val="18"/>
        </w:numPr>
        <w:ind w:left="567" w:hanging="283"/>
        <w:rPr>
          <w:rFonts w:asciiTheme="minorHAnsi" w:hAnsiTheme="minorHAnsi" w:cstheme="minorHAnsi"/>
          <w:lang w:val="es-ES_tradnl"/>
        </w:rPr>
      </w:pPr>
      <w:r w:rsidRPr="009A3DDF">
        <w:rPr>
          <w:rFonts w:asciiTheme="minorHAnsi" w:hAnsiTheme="minorHAnsi" w:cstheme="minorHAnsi"/>
          <w:lang w:val="es-ES_tradnl"/>
        </w:rPr>
        <w:t>Anexo 2: Gráfico de plazos en un diagrama de Gantt [</w:t>
      </w:r>
      <w:r w:rsidR="00A45979" w:rsidRPr="009A3DDF">
        <w:rPr>
          <w:rFonts w:asciiTheme="minorHAnsi" w:hAnsiTheme="minorHAnsi" w:cstheme="minorHAnsi"/>
          <w:lang w:val="es-ES_tradnl"/>
        </w:rPr>
        <w:t xml:space="preserve">sin </w:t>
      </w:r>
      <w:r w:rsidRPr="009A3DDF">
        <w:rPr>
          <w:rFonts w:asciiTheme="minorHAnsi" w:hAnsiTheme="minorHAnsi" w:cstheme="minorHAnsi"/>
          <w:lang w:val="es-ES_tradnl"/>
        </w:rPr>
        <w:t>plantilla].</w:t>
      </w:r>
    </w:p>
    <w:p w14:paraId="57933431" w14:textId="1AC0116E" w:rsidR="00844A6E" w:rsidRPr="009A3DDF" w:rsidRDefault="00844A6E" w:rsidP="00224C34">
      <w:pPr>
        <w:pStyle w:val="std"/>
        <w:numPr>
          <w:ilvl w:val="0"/>
          <w:numId w:val="18"/>
        </w:numPr>
        <w:tabs>
          <w:tab w:val="left" w:pos="5414"/>
        </w:tabs>
        <w:ind w:left="567" w:hanging="283"/>
        <w:rPr>
          <w:rFonts w:asciiTheme="minorHAnsi" w:hAnsiTheme="minorHAnsi" w:cstheme="minorHAnsi"/>
          <w:lang w:val="es-ES_tradnl"/>
        </w:rPr>
      </w:pPr>
      <w:r w:rsidRPr="009A3DDF">
        <w:rPr>
          <w:rFonts w:asciiTheme="minorHAnsi" w:hAnsiTheme="minorHAnsi" w:cstheme="minorHAnsi"/>
          <w:lang w:val="es-ES_tradnl"/>
        </w:rPr>
        <w:t>Anexo 3: Presupuesto desglosado [sin plantilla].</w:t>
      </w:r>
    </w:p>
    <w:p w14:paraId="45462F0A" w14:textId="4E4EACB8" w:rsidR="00844A6E" w:rsidRPr="009A3DDF" w:rsidRDefault="00844A6E" w:rsidP="00224C34">
      <w:pPr>
        <w:pStyle w:val="std"/>
        <w:numPr>
          <w:ilvl w:val="0"/>
          <w:numId w:val="18"/>
        </w:numPr>
        <w:tabs>
          <w:tab w:val="left" w:pos="5414"/>
        </w:tabs>
        <w:ind w:left="567" w:hanging="283"/>
        <w:rPr>
          <w:rFonts w:asciiTheme="minorHAnsi" w:hAnsiTheme="minorHAnsi" w:cstheme="minorHAnsi"/>
          <w:spacing w:val="-4"/>
          <w:lang w:val="es-ES_tradnl"/>
        </w:rPr>
      </w:pPr>
      <w:r w:rsidRPr="009A3DDF">
        <w:rPr>
          <w:rFonts w:asciiTheme="minorHAnsi" w:hAnsiTheme="minorHAnsi" w:cstheme="minorHAnsi"/>
          <w:spacing w:val="-4"/>
          <w:lang w:val="es-ES_tradnl"/>
        </w:rPr>
        <w:t xml:space="preserve">Anexo 4: Datos institucionales y </w:t>
      </w:r>
      <w:r w:rsidR="000E3B42" w:rsidRPr="009A3DDF">
        <w:rPr>
          <w:rFonts w:asciiTheme="minorHAnsi" w:hAnsiTheme="minorHAnsi" w:cstheme="minorHAnsi"/>
          <w:spacing w:val="-4"/>
          <w:lang w:val="es-ES_tradnl"/>
        </w:rPr>
        <w:t>C.V.</w:t>
      </w:r>
      <w:r w:rsidRPr="009A3DDF">
        <w:rPr>
          <w:rFonts w:asciiTheme="minorHAnsi" w:hAnsiTheme="minorHAnsi" w:cstheme="minorHAnsi"/>
          <w:spacing w:val="-4"/>
          <w:lang w:val="es-ES_tradnl"/>
        </w:rPr>
        <w:t xml:space="preserve"> de los principales miembros del equipo [sin plantilla].</w:t>
      </w:r>
    </w:p>
    <w:p w14:paraId="30877A69" w14:textId="33DDB135" w:rsidR="00844A6E" w:rsidRPr="009A3DDF" w:rsidRDefault="00844A6E" w:rsidP="00224C34">
      <w:pPr>
        <w:pStyle w:val="std"/>
        <w:numPr>
          <w:ilvl w:val="0"/>
          <w:numId w:val="18"/>
        </w:numPr>
        <w:ind w:left="567" w:hanging="283"/>
        <w:rPr>
          <w:rFonts w:asciiTheme="minorHAnsi" w:hAnsiTheme="minorHAnsi" w:cstheme="minorHAnsi"/>
          <w:lang w:val="es-ES_tradnl"/>
        </w:rPr>
      </w:pPr>
      <w:r w:rsidRPr="009A3DDF">
        <w:rPr>
          <w:rFonts w:asciiTheme="minorHAnsi" w:hAnsiTheme="minorHAnsi" w:cstheme="minorHAnsi"/>
          <w:lang w:val="es-ES_tradnl"/>
        </w:rPr>
        <w:t xml:space="preserve">Anexo 5: Cartas de </w:t>
      </w:r>
      <w:r w:rsidR="00793816" w:rsidRPr="009A3DDF">
        <w:rPr>
          <w:rFonts w:asciiTheme="minorHAnsi" w:hAnsiTheme="minorHAnsi" w:cstheme="minorHAnsi"/>
          <w:lang w:val="es-ES_tradnl"/>
        </w:rPr>
        <w:t xml:space="preserve">apoyo </w:t>
      </w:r>
      <w:r w:rsidRPr="009A3DDF">
        <w:rPr>
          <w:rFonts w:asciiTheme="minorHAnsi" w:hAnsiTheme="minorHAnsi" w:cstheme="minorHAnsi"/>
          <w:lang w:val="es-ES_tradnl"/>
        </w:rPr>
        <w:t>(opcionales) [sin plantilla].</w:t>
      </w:r>
    </w:p>
    <w:p w14:paraId="586FD793" w14:textId="3C223067" w:rsidR="00844A6E" w:rsidRPr="009A3DDF" w:rsidRDefault="00844A6E" w:rsidP="00224C34">
      <w:pPr>
        <w:pStyle w:val="std"/>
        <w:numPr>
          <w:ilvl w:val="0"/>
          <w:numId w:val="18"/>
        </w:numPr>
        <w:ind w:left="567" w:hanging="283"/>
        <w:rPr>
          <w:rFonts w:asciiTheme="minorHAnsi" w:hAnsiTheme="minorHAnsi" w:cstheme="minorHAnsi"/>
          <w:lang w:val="es-ES_tradnl"/>
        </w:rPr>
      </w:pPr>
      <w:r w:rsidRPr="009A3DDF">
        <w:rPr>
          <w:rFonts w:asciiTheme="minorHAnsi" w:hAnsiTheme="minorHAnsi" w:cstheme="minorHAnsi"/>
          <w:lang w:val="es-ES_tradnl"/>
        </w:rPr>
        <w:t>Anexo 6: Declaració</w:t>
      </w:r>
      <w:r w:rsidR="00244950">
        <w:rPr>
          <w:rFonts w:asciiTheme="minorHAnsi" w:hAnsiTheme="minorHAnsi" w:cstheme="minorHAnsi"/>
          <w:lang w:val="es-ES_tradnl"/>
        </w:rPr>
        <w:t>n de intereses pertinentes [</w:t>
      </w:r>
      <w:r w:rsidRPr="009A3DDF">
        <w:rPr>
          <w:rFonts w:asciiTheme="minorHAnsi" w:hAnsiTheme="minorHAnsi" w:cstheme="minorHAnsi"/>
          <w:lang w:val="es-ES_tradnl"/>
        </w:rPr>
        <w:t>plantilla].</w:t>
      </w:r>
    </w:p>
    <w:p w14:paraId="55ADFC8A" w14:textId="1B9670EE" w:rsidR="00844A6E" w:rsidRPr="009A3DDF" w:rsidRDefault="00844A6E" w:rsidP="00224C34">
      <w:pPr>
        <w:pStyle w:val="std"/>
        <w:numPr>
          <w:ilvl w:val="0"/>
          <w:numId w:val="18"/>
        </w:numPr>
        <w:ind w:left="567" w:hanging="283"/>
        <w:rPr>
          <w:rFonts w:asciiTheme="minorHAnsi" w:hAnsiTheme="minorHAnsi" w:cstheme="minorHAnsi"/>
          <w:lang w:val="es-ES_tradnl"/>
        </w:rPr>
      </w:pPr>
      <w:r w:rsidRPr="009A3DDF">
        <w:rPr>
          <w:rFonts w:asciiTheme="minorHAnsi" w:hAnsiTheme="minorHAnsi" w:cstheme="minorHAnsi"/>
          <w:lang w:val="es-ES_tradnl"/>
        </w:rPr>
        <w:t xml:space="preserve">Anexo 7: </w:t>
      </w:r>
      <w:r w:rsidR="004E4C0C" w:rsidRPr="009A3DDF">
        <w:rPr>
          <w:rFonts w:asciiTheme="minorHAnsi" w:hAnsiTheme="minorHAnsi" w:cstheme="minorHAnsi"/>
          <w:lang w:val="es-ES_tradnl"/>
        </w:rPr>
        <w:t>Políticas aplicables medioambientales, en materia de principios éticos y</w:t>
      </w:r>
      <w:r w:rsidRPr="009A3DDF">
        <w:rPr>
          <w:rFonts w:asciiTheme="minorHAnsi" w:hAnsiTheme="minorHAnsi" w:cstheme="minorHAnsi"/>
          <w:lang w:val="es-ES_tradnl"/>
        </w:rPr>
        <w:t xml:space="preserve"> </w:t>
      </w:r>
      <w:r w:rsidR="004E4C0C" w:rsidRPr="009A3DDF">
        <w:rPr>
          <w:rFonts w:asciiTheme="minorHAnsi" w:hAnsiTheme="minorHAnsi" w:cstheme="minorHAnsi"/>
          <w:lang w:val="es-ES_tradnl"/>
        </w:rPr>
        <w:t xml:space="preserve">contra la discriminación </w:t>
      </w:r>
      <w:r w:rsidR="00244950">
        <w:rPr>
          <w:rFonts w:asciiTheme="minorHAnsi" w:hAnsiTheme="minorHAnsi" w:cstheme="minorHAnsi"/>
          <w:lang w:val="es-ES_tradnl"/>
        </w:rPr>
        <w:t>[</w:t>
      </w:r>
      <w:r w:rsidRPr="009A3DDF">
        <w:rPr>
          <w:rFonts w:asciiTheme="minorHAnsi" w:hAnsiTheme="minorHAnsi" w:cstheme="minorHAnsi"/>
          <w:lang w:val="es-ES_tradnl"/>
        </w:rPr>
        <w:t>plantilla].</w:t>
      </w:r>
    </w:p>
    <w:p w14:paraId="0EBE27AE" w14:textId="02EAF031" w:rsidR="00844A6E" w:rsidRPr="009A3DDF" w:rsidRDefault="00844A6E" w:rsidP="00A511AE">
      <w:pPr>
        <w:pStyle w:val="std"/>
        <w:numPr>
          <w:ilvl w:val="0"/>
          <w:numId w:val="18"/>
        </w:numPr>
        <w:ind w:left="567" w:hanging="283"/>
        <w:jc w:val="both"/>
        <w:rPr>
          <w:rFonts w:asciiTheme="minorHAnsi" w:hAnsiTheme="minorHAnsi" w:cstheme="minorHAnsi"/>
          <w:spacing w:val="-4"/>
          <w:lang w:val="es-ES_tradnl"/>
        </w:rPr>
      </w:pPr>
      <w:r w:rsidRPr="009A3DDF">
        <w:rPr>
          <w:rFonts w:asciiTheme="minorHAnsi" w:hAnsiTheme="minorHAnsi" w:cstheme="minorHAnsi"/>
          <w:spacing w:val="-4"/>
          <w:lang w:val="es-ES_tradnl"/>
        </w:rPr>
        <w:t xml:space="preserve">Anexo 8: Declaración relativa a las entidades vinculadas al tabaco </w:t>
      </w:r>
      <w:r w:rsidR="004E4C0C" w:rsidRPr="009A3DDF">
        <w:rPr>
          <w:rFonts w:asciiTheme="minorHAnsi" w:hAnsiTheme="minorHAnsi" w:cstheme="minorHAnsi"/>
          <w:spacing w:val="-4"/>
          <w:lang w:val="es-ES_tradnl"/>
        </w:rPr>
        <w:t xml:space="preserve">y las armas </w:t>
      </w:r>
      <w:r w:rsidR="00244950">
        <w:rPr>
          <w:rFonts w:asciiTheme="minorHAnsi" w:hAnsiTheme="minorHAnsi" w:cstheme="minorHAnsi"/>
          <w:spacing w:val="-4"/>
          <w:lang w:val="es-ES_tradnl"/>
        </w:rPr>
        <w:t>[</w:t>
      </w:r>
      <w:r w:rsidRPr="009A3DDF">
        <w:rPr>
          <w:rFonts w:asciiTheme="minorHAnsi" w:hAnsiTheme="minorHAnsi" w:cstheme="minorHAnsi"/>
          <w:spacing w:val="-4"/>
          <w:lang w:val="es-ES_tradnl"/>
        </w:rPr>
        <w:t>plantilla].</w:t>
      </w:r>
    </w:p>
    <w:p w14:paraId="3005071E" w14:textId="679A7915" w:rsidR="00844A6E" w:rsidRPr="009A3DDF" w:rsidRDefault="00844A6E" w:rsidP="00224C34">
      <w:pPr>
        <w:pStyle w:val="std"/>
        <w:numPr>
          <w:ilvl w:val="0"/>
          <w:numId w:val="18"/>
        </w:numPr>
        <w:ind w:left="567" w:hanging="283"/>
        <w:rPr>
          <w:rFonts w:asciiTheme="minorHAnsi" w:hAnsiTheme="minorHAnsi" w:cstheme="minorHAnsi"/>
          <w:lang w:val="es-ES_tradnl"/>
        </w:rPr>
      </w:pPr>
      <w:r w:rsidRPr="009A3DDF">
        <w:rPr>
          <w:rFonts w:asciiTheme="minorHAnsi" w:hAnsiTheme="minorHAnsi" w:cstheme="minorHAnsi"/>
          <w:lang w:val="es-ES_tradnl"/>
        </w:rPr>
        <w:t>Orientaciones para evaluar el impacto.</w:t>
      </w:r>
    </w:p>
    <w:p w14:paraId="4A602DB2" w14:textId="4BC317BD" w:rsidR="00B20976" w:rsidRPr="009A3DDF" w:rsidRDefault="00844A6E" w:rsidP="00224C34">
      <w:pPr>
        <w:spacing w:after="0" w:line="240" w:lineRule="auto"/>
        <w:ind w:left="567" w:hanging="283"/>
        <w:jc w:val="both"/>
        <w:rPr>
          <w:rFonts w:cstheme="minorHAnsi"/>
          <w:sz w:val="24"/>
          <w:szCs w:val="24"/>
          <w:lang w:val="es-ES_tradnl"/>
        </w:rPr>
      </w:pPr>
      <w:r w:rsidRPr="009A3DDF">
        <w:rPr>
          <w:rFonts w:cstheme="minorHAnsi"/>
          <w:sz w:val="24"/>
          <w:szCs w:val="24"/>
          <w:lang w:val="es-ES_tradnl"/>
        </w:rPr>
        <w:t>•</w:t>
      </w:r>
      <w:r w:rsidR="00224C34" w:rsidRPr="009A3DDF">
        <w:rPr>
          <w:rFonts w:cstheme="minorHAnsi"/>
          <w:sz w:val="24"/>
          <w:szCs w:val="24"/>
          <w:lang w:val="es-ES_tradnl"/>
        </w:rPr>
        <w:tab/>
      </w:r>
      <w:r w:rsidRPr="00A149A3">
        <w:rPr>
          <w:rFonts w:cstheme="minorHAnsi"/>
          <w:color w:val="595959"/>
          <w:sz w:val="24"/>
          <w:szCs w:val="24"/>
          <w:shd w:val="clear" w:color="auto" w:fill="FFFFFF"/>
          <w:lang w:val="es-ES"/>
        </w:rPr>
        <w:t>Orientaciones financieras</w:t>
      </w:r>
      <w:r w:rsidR="00793816" w:rsidRPr="00A149A3">
        <w:rPr>
          <w:rFonts w:cstheme="minorHAnsi"/>
          <w:color w:val="595959"/>
          <w:sz w:val="24"/>
          <w:szCs w:val="24"/>
          <w:shd w:val="clear" w:color="auto" w:fill="FFFFFF"/>
          <w:lang w:val="es-ES"/>
        </w:rPr>
        <w:t xml:space="preserve"> para</w:t>
      </w:r>
      <w:r w:rsidRPr="00A149A3">
        <w:rPr>
          <w:rFonts w:cstheme="minorHAnsi"/>
          <w:color w:val="595959"/>
          <w:sz w:val="24"/>
          <w:szCs w:val="24"/>
          <w:shd w:val="clear" w:color="auto" w:fill="FFFFFF"/>
          <w:lang w:val="es-ES"/>
        </w:rPr>
        <w:t xml:space="preserve"> beneficiarios de </w:t>
      </w:r>
      <w:r w:rsidR="00793816" w:rsidRPr="00A149A3">
        <w:rPr>
          <w:rFonts w:cstheme="minorHAnsi"/>
          <w:color w:val="595959"/>
          <w:sz w:val="24"/>
          <w:szCs w:val="24"/>
          <w:shd w:val="clear" w:color="auto" w:fill="FFFFFF"/>
          <w:lang w:val="es-ES"/>
        </w:rPr>
        <w:t>subvenciones</w:t>
      </w:r>
      <w:r w:rsidRPr="00A149A3">
        <w:rPr>
          <w:rFonts w:cstheme="minorHAnsi"/>
          <w:color w:val="595959"/>
          <w:sz w:val="24"/>
          <w:szCs w:val="24"/>
          <w:shd w:val="clear" w:color="auto" w:fill="FFFFFF"/>
          <w:lang w:val="es-ES"/>
        </w:rPr>
        <w:t xml:space="preserve"> de Unitaid</w:t>
      </w:r>
      <w:r w:rsidR="00B20976" w:rsidRPr="00A149A3">
        <w:rPr>
          <w:rFonts w:cstheme="minorHAnsi"/>
          <w:color w:val="595959"/>
          <w:sz w:val="24"/>
          <w:szCs w:val="24"/>
          <w:shd w:val="clear" w:color="auto" w:fill="FFFFFF"/>
          <w:lang w:val="es-ES"/>
        </w:rPr>
        <w:t>.</w:t>
      </w:r>
    </w:p>
    <w:p w14:paraId="66C5DC5B" w14:textId="77777777" w:rsidR="00B20976" w:rsidRPr="009A3DDF" w:rsidRDefault="00B20976" w:rsidP="00450B76">
      <w:pPr>
        <w:spacing w:after="0" w:line="240" w:lineRule="auto"/>
        <w:jc w:val="both"/>
        <w:rPr>
          <w:rFonts w:eastAsia="SimSun" w:cstheme="minorHAnsi"/>
          <w:sz w:val="24"/>
          <w:szCs w:val="24"/>
          <w:lang w:val="es-ES_tradnl"/>
        </w:rPr>
      </w:pPr>
    </w:p>
    <w:p w14:paraId="7CA81E15" w14:textId="547F52F4" w:rsidR="00844A6E" w:rsidRPr="009A3DDF" w:rsidRDefault="00830BE1" w:rsidP="00C22273">
      <w:pPr>
        <w:pStyle w:val="std"/>
        <w:jc w:val="both"/>
        <w:rPr>
          <w:rFonts w:asciiTheme="minorHAnsi" w:hAnsiTheme="minorHAnsi" w:cstheme="minorHAnsi"/>
          <w:lang w:val="es-ES_tradnl"/>
        </w:rPr>
      </w:pPr>
      <w:r>
        <w:rPr>
          <w:rFonts w:asciiTheme="minorHAnsi" w:hAnsiTheme="minorHAnsi" w:cstheme="minorHAnsi"/>
          <w:b/>
          <w:lang w:val="es-ES_tradnl"/>
        </w:rPr>
        <w:t>Tenga en</w:t>
      </w:r>
      <w:r w:rsidR="00844A6E" w:rsidRPr="009A3DDF">
        <w:rPr>
          <w:rFonts w:asciiTheme="minorHAnsi" w:hAnsiTheme="minorHAnsi" w:cstheme="minorHAnsi"/>
          <w:b/>
          <w:lang w:val="es-ES_tradnl"/>
        </w:rPr>
        <w:t xml:space="preserve"> cuenta que nuestro sistema de correo electrónico ace</w:t>
      </w:r>
      <w:bookmarkStart w:id="2" w:name="_GoBack"/>
      <w:bookmarkEnd w:id="2"/>
      <w:r w:rsidR="00844A6E" w:rsidRPr="009A3DDF">
        <w:rPr>
          <w:rFonts w:asciiTheme="minorHAnsi" w:hAnsiTheme="minorHAnsi" w:cstheme="minorHAnsi"/>
          <w:b/>
          <w:lang w:val="es-ES_tradnl"/>
        </w:rPr>
        <w:t>pta mensajes de 8 MB como máximo</w:t>
      </w:r>
      <w:r w:rsidR="00844A6E" w:rsidRPr="009A3DDF">
        <w:rPr>
          <w:rFonts w:asciiTheme="minorHAnsi" w:hAnsiTheme="minorHAnsi" w:cstheme="minorHAnsi"/>
          <w:lang w:val="es-ES_tradnl"/>
        </w:rPr>
        <w:t>.</w:t>
      </w:r>
      <w:r w:rsidR="00F51A5E" w:rsidRPr="009A3DDF">
        <w:rPr>
          <w:rFonts w:asciiTheme="minorHAnsi" w:hAnsiTheme="minorHAnsi" w:cstheme="minorHAnsi"/>
          <w:lang w:val="es-ES_tradnl"/>
        </w:rPr>
        <w:t xml:space="preserve"> </w:t>
      </w:r>
      <w:r w:rsidR="00844A6E" w:rsidRPr="009A3DDF">
        <w:rPr>
          <w:rFonts w:asciiTheme="minorHAnsi" w:hAnsiTheme="minorHAnsi" w:cstheme="minorHAnsi"/>
          <w:lang w:val="es-ES_tradnl"/>
        </w:rPr>
        <w:t>A partir de ese tamaño conviene dividir los documentos adjuntos en varios mensajes.</w:t>
      </w:r>
      <w:r w:rsidR="00F51A5E" w:rsidRPr="009A3DDF">
        <w:rPr>
          <w:rFonts w:asciiTheme="minorHAnsi" w:hAnsiTheme="minorHAnsi" w:cstheme="minorHAnsi"/>
          <w:lang w:val="es-ES_tradnl"/>
        </w:rPr>
        <w:t xml:space="preserve"> </w:t>
      </w:r>
    </w:p>
    <w:p w14:paraId="58970A7B" w14:textId="77777777" w:rsidR="00844A6E" w:rsidRPr="009A3DDF" w:rsidRDefault="00844A6E" w:rsidP="00C22273">
      <w:pPr>
        <w:pStyle w:val="std"/>
        <w:jc w:val="both"/>
        <w:rPr>
          <w:rFonts w:asciiTheme="minorHAnsi" w:hAnsiTheme="minorHAnsi" w:cstheme="minorHAnsi"/>
          <w:lang w:val="es-ES_tradnl"/>
        </w:rPr>
      </w:pPr>
    </w:p>
    <w:p w14:paraId="3579FE74" w14:textId="5CFE990B" w:rsidR="00844A6E" w:rsidRPr="009A3DDF" w:rsidRDefault="00844A6E" w:rsidP="00C22273">
      <w:pPr>
        <w:pStyle w:val="std"/>
        <w:jc w:val="both"/>
        <w:rPr>
          <w:rFonts w:asciiTheme="minorHAnsi" w:hAnsiTheme="minorHAnsi" w:cstheme="minorHAnsi"/>
          <w:color w:val="000000" w:themeColor="text1"/>
          <w:lang w:val="es-ES_tradnl"/>
        </w:rPr>
      </w:pPr>
      <w:r w:rsidRPr="009A3DDF">
        <w:rPr>
          <w:rFonts w:asciiTheme="minorHAnsi" w:hAnsiTheme="minorHAnsi" w:cstheme="minorHAnsi"/>
          <w:lang w:val="es-ES_tradnl"/>
        </w:rPr>
        <w:t xml:space="preserve">Unitaid estudiará </w:t>
      </w:r>
      <w:r w:rsidR="004E4C0C" w:rsidRPr="009A3DDF">
        <w:rPr>
          <w:rFonts w:asciiTheme="minorHAnsi" w:hAnsiTheme="minorHAnsi" w:cstheme="minorHAnsi"/>
          <w:lang w:val="es-ES_tradnl"/>
        </w:rPr>
        <w:t xml:space="preserve">individualmente </w:t>
      </w:r>
      <w:r w:rsidRPr="009A3DDF">
        <w:rPr>
          <w:rFonts w:asciiTheme="minorHAnsi" w:hAnsiTheme="minorHAnsi" w:cstheme="minorHAnsi"/>
          <w:lang w:val="es-ES_tradnl"/>
        </w:rPr>
        <w:t xml:space="preserve">todas las propuestas y las posibles consultas que se le formulen: aunque presente su solicitud el día anterior a la fecha límite, recibirá una respuesta informándole de si está completa. </w:t>
      </w:r>
      <w:r w:rsidR="00793816" w:rsidRPr="009A3DDF">
        <w:rPr>
          <w:rFonts w:asciiTheme="minorHAnsi" w:hAnsiTheme="minorHAnsi" w:cstheme="minorHAnsi"/>
          <w:lang w:val="es-ES_tradnl"/>
        </w:rPr>
        <w:t>Asimismo</w:t>
      </w:r>
      <w:r w:rsidRPr="009A3DDF">
        <w:rPr>
          <w:rFonts w:asciiTheme="minorHAnsi" w:hAnsiTheme="minorHAnsi" w:cstheme="minorHAnsi"/>
          <w:lang w:val="es-ES_tradnl"/>
        </w:rPr>
        <w:t xml:space="preserve">, se responderá </w:t>
      </w:r>
      <w:r w:rsidR="00793816" w:rsidRPr="009A3DDF">
        <w:rPr>
          <w:rFonts w:asciiTheme="minorHAnsi" w:hAnsiTheme="minorHAnsi" w:cstheme="minorHAnsi"/>
          <w:lang w:val="es-ES_tradnl"/>
        </w:rPr>
        <w:t xml:space="preserve">a </w:t>
      </w:r>
      <w:r w:rsidRPr="009A3DDF">
        <w:rPr>
          <w:rFonts w:asciiTheme="minorHAnsi" w:hAnsiTheme="minorHAnsi" w:cstheme="minorHAnsi"/>
          <w:lang w:val="es-ES_tradnl"/>
        </w:rPr>
        <w:t xml:space="preserve">todas consultas </w:t>
      </w:r>
      <w:r w:rsidRPr="009A3DDF">
        <w:rPr>
          <w:rFonts w:asciiTheme="minorHAnsi" w:hAnsiTheme="minorHAnsi" w:cstheme="minorHAnsi"/>
          <w:color w:val="000000" w:themeColor="text1"/>
          <w:lang w:val="es-ES_tradnl"/>
        </w:rPr>
        <w:t xml:space="preserve">durante el </w:t>
      </w:r>
      <w:r w:rsidRPr="009A3DDF">
        <w:rPr>
          <w:rFonts w:asciiTheme="minorHAnsi" w:hAnsiTheme="minorHAnsi" w:cstheme="minorHAnsi"/>
          <w:color w:val="000000" w:themeColor="text1"/>
          <w:lang w:val="es-ES_tradnl"/>
        </w:rPr>
        <w:lastRenderedPageBreak/>
        <w:t xml:space="preserve">proceso de examen de la solicitud. </w:t>
      </w:r>
      <w:r w:rsidR="00830BE1">
        <w:rPr>
          <w:rFonts w:asciiTheme="minorHAnsi" w:hAnsiTheme="minorHAnsi" w:cstheme="minorHAnsi"/>
          <w:color w:val="000000" w:themeColor="text1"/>
          <w:lang w:val="es-ES_tradnl"/>
        </w:rPr>
        <w:t>Envíe</w:t>
      </w:r>
      <w:r w:rsidRPr="009A3DDF">
        <w:rPr>
          <w:rFonts w:asciiTheme="minorHAnsi" w:hAnsiTheme="minorHAnsi" w:cstheme="minorHAnsi"/>
          <w:color w:val="000000" w:themeColor="text1"/>
          <w:lang w:val="es-ES_tradnl"/>
        </w:rPr>
        <w:t xml:space="preserve"> sus consultas al responsable de las solicitudes de subvención, a </w:t>
      </w:r>
      <w:hyperlink r:id="rId12" w:history="1">
        <w:r w:rsidRPr="009A3DDF">
          <w:rPr>
            <w:rStyle w:val="Hyperlink"/>
            <w:rFonts w:asciiTheme="minorHAnsi" w:hAnsiTheme="minorHAnsi" w:cstheme="minorHAnsi"/>
            <w:color w:val="000000" w:themeColor="text1"/>
            <w:u w:val="none"/>
            <w:lang w:val="es-ES_tradnl"/>
          </w:rPr>
          <w:t>proposals</w:t>
        </w:r>
        <w:r w:rsidR="00F51A5E" w:rsidRPr="009A3DDF">
          <w:rPr>
            <w:rStyle w:val="Hyperlink"/>
            <w:rFonts w:asciiTheme="minorHAnsi" w:hAnsiTheme="minorHAnsi" w:cstheme="minorHAnsi"/>
            <w:color w:val="000000" w:themeColor="text1"/>
            <w:u w:val="none"/>
            <w:lang w:val="es-ES_tradnl"/>
          </w:rPr>
          <w:t>U</w:t>
        </w:r>
        <w:r w:rsidRPr="009A3DDF">
          <w:rPr>
            <w:rStyle w:val="Hyperlink"/>
            <w:rFonts w:asciiTheme="minorHAnsi" w:hAnsiTheme="minorHAnsi" w:cstheme="minorHAnsi"/>
            <w:color w:val="000000" w:themeColor="text1"/>
            <w:u w:val="none"/>
            <w:lang w:val="es-ES_tradnl"/>
          </w:rPr>
          <w:t>nitaid@who.int</w:t>
        </w:r>
      </w:hyperlink>
    </w:p>
    <w:p w14:paraId="242385F4" w14:textId="7EED0830" w:rsidR="00844A6E" w:rsidRPr="009A3DDF" w:rsidRDefault="00844A6E" w:rsidP="00C22273">
      <w:pPr>
        <w:pStyle w:val="std"/>
        <w:jc w:val="both"/>
        <w:rPr>
          <w:rFonts w:asciiTheme="minorHAnsi" w:hAnsiTheme="minorHAnsi" w:cstheme="minorHAnsi"/>
          <w:color w:val="000000" w:themeColor="text1"/>
          <w:lang w:val="es-ES_tradnl"/>
        </w:rPr>
      </w:pPr>
    </w:p>
    <w:p w14:paraId="335C255B" w14:textId="65C37286" w:rsidR="00C20DED" w:rsidRPr="009A3DDF" w:rsidRDefault="00844A6E" w:rsidP="00F51A5E">
      <w:pPr>
        <w:spacing w:after="0" w:line="240" w:lineRule="auto"/>
        <w:jc w:val="both"/>
        <w:rPr>
          <w:rFonts w:cstheme="minorHAnsi"/>
          <w:bCs/>
          <w:sz w:val="24"/>
          <w:szCs w:val="24"/>
          <w:lang w:val="es-ES_tradnl"/>
        </w:rPr>
      </w:pPr>
      <w:r w:rsidRPr="009A3DDF">
        <w:rPr>
          <w:rFonts w:cstheme="minorHAnsi"/>
          <w:color w:val="000000" w:themeColor="text1"/>
          <w:sz w:val="24"/>
          <w:szCs w:val="24"/>
          <w:lang w:val="es-ES_tradnl"/>
        </w:rPr>
        <w:t xml:space="preserve">Encontrará más información en el </w:t>
      </w:r>
      <w:hyperlink r:id="rId13" w:history="1">
        <w:r w:rsidRPr="009A3DDF">
          <w:rPr>
            <w:rStyle w:val="Hyperlink"/>
            <w:rFonts w:cstheme="minorHAnsi"/>
            <w:color w:val="000000" w:themeColor="text1"/>
            <w:sz w:val="24"/>
            <w:szCs w:val="24"/>
            <w:u w:val="none"/>
            <w:bdr w:val="none" w:sz="0" w:space="0" w:color="auto" w:frame="1"/>
            <w:shd w:val="clear" w:color="auto" w:fill="FFFFFF"/>
            <w:lang w:val="es-ES_tradnl"/>
          </w:rPr>
          <w:t>documento sobre el proceso de presentación de propuestas a</w:t>
        </w:r>
        <w:r w:rsidR="00830BE1">
          <w:rPr>
            <w:rStyle w:val="Hyperlink"/>
            <w:rFonts w:cstheme="minorHAnsi"/>
            <w:color w:val="000000" w:themeColor="text1"/>
            <w:sz w:val="24"/>
            <w:szCs w:val="24"/>
            <w:u w:val="none"/>
            <w:bdr w:val="none" w:sz="0" w:space="0" w:color="auto" w:frame="1"/>
            <w:shd w:val="clear" w:color="auto" w:fill="FFFFFF"/>
            <w:lang w:val="es-ES_tradnl"/>
          </w:rPr>
          <w:t xml:space="preserve"> </w:t>
        </w:r>
        <w:r w:rsidRPr="009A3DDF">
          <w:rPr>
            <w:rStyle w:val="Hyperlink"/>
            <w:rFonts w:cstheme="minorHAnsi"/>
            <w:color w:val="000000" w:themeColor="text1"/>
            <w:sz w:val="24"/>
            <w:szCs w:val="24"/>
            <w:u w:val="none"/>
            <w:bdr w:val="none" w:sz="0" w:space="0" w:color="auto" w:frame="1"/>
            <w:shd w:val="clear" w:color="auto" w:fill="FFFFFF"/>
            <w:lang w:val="es-ES_tradnl"/>
          </w:rPr>
          <w:t>Unitaid</w:t>
        </w:r>
      </w:hyperlink>
      <w:r w:rsidRPr="009A3DDF">
        <w:rPr>
          <w:rFonts w:cstheme="minorHAnsi"/>
          <w:color w:val="000000" w:themeColor="text1"/>
          <w:sz w:val="24"/>
          <w:szCs w:val="24"/>
          <w:lang w:val="es-ES_tradnl"/>
        </w:rPr>
        <w:t>.</w:t>
      </w:r>
      <w:bookmarkEnd w:id="0"/>
    </w:p>
    <w:sectPr w:rsidR="00C20DED" w:rsidRPr="009A3DDF" w:rsidSect="00932FC3">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72AFF" w14:textId="77777777" w:rsidR="006C7A8D" w:rsidRDefault="006C7A8D" w:rsidP="00AE6356">
      <w:pPr>
        <w:spacing w:after="0" w:line="240" w:lineRule="auto"/>
      </w:pPr>
      <w:r>
        <w:separator/>
      </w:r>
    </w:p>
  </w:endnote>
  <w:endnote w:type="continuationSeparator" w:id="0">
    <w:p w14:paraId="33F11F23" w14:textId="77777777" w:rsidR="006C7A8D" w:rsidRDefault="006C7A8D" w:rsidP="00AE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660660"/>
      <w:docPartObj>
        <w:docPartGallery w:val="Page Numbers (Bottom of Page)"/>
        <w:docPartUnique/>
      </w:docPartObj>
    </w:sdtPr>
    <w:sdtEndPr>
      <w:rPr>
        <w:noProof/>
      </w:rPr>
    </w:sdtEndPr>
    <w:sdtContent>
      <w:p w14:paraId="20BBBEAF" w14:textId="77777777" w:rsidR="00D87C39" w:rsidRDefault="00D87C3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D8EF838" w14:textId="77777777" w:rsidR="00D87C39" w:rsidRDefault="00D8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42131" w14:textId="77777777" w:rsidR="006C7A8D" w:rsidRDefault="006C7A8D" w:rsidP="00AE6356">
      <w:pPr>
        <w:spacing w:after="0" w:line="240" w:lineRule="auto"/>
      </w:pPr>
      <w:r>
        <w:separator/>
      </w:r>
    </w:p>
  </w:footnote>
  <w:footnote w:type="continuationSeparator" w:id="0">
    <w:p w14:paraId="78D882EF" w14:textId="77777777" w:rsidR="006C7A8D" w:rsidRDefault="006C7A8D" w:rsidP="00AE6356">
      <w:pPr>
        <w:spacing w:after="0" w:line="240" w:lineRule="auto"/>
      </w:pPr>
      <w:r>
        <w:continuationSeparator/>
      </w:r>
    </w:p>
  </w:footnote>
  <w:footnote w:id="1">
    <w:p w14:paraId="73DCD169" w14:textId="488F759F" w:rsidR="00D87C39" w:rsidRPr="000214BD" w:rsidRDefault="00D87C39" w:rsidP="000C3AEC">
      <w:pPr>
        <w:spacing w:after="0"/>
        <w:rPr>
          <w:sz w:val="18"/>
          <w:szCs w:val="18"/>
        </w:rPr>
      </w:pPr>
      <w:r w:rsidRPr="000214BD">
        <w:rPr>
          <w:rStyle w:val="FootnoteReference"/>
          <w:sz w:val="20"/>
          <w:szCs w:val="20"/>
        </w:rPr>
        <w:footnoteRef/>
      </w:r>
      <w:r w:rsidRPr="000214BD">
        <w:rPr>
          <w:sz w:val="18"/>
          <w:szCs w:val="18"/>
        </w:rPr>
        <w:t xml:space="preserve"> Bezabhe WM </w:t>
      </w:r>
      <w:r w:rsidRPr="000214BD">
        <w:rPr>
          <w:i/>
          <w:sz w:val="18"/>
          <w:szCs w:val="18"/>
        </w:rPr>
        <w:t>et al</w:t>
      </w:r>
      <w:r w:rsidRPr="000214BD">
        <w:rPr>
          <w:sz w:val="18"/>
          <w:szCs w:val="18"/>
        </w:rPr>
        <w:t xml:space="preserve">. Adherence to antiretroviral therapy and virologic failure. </w:t>
      </w:r>
      <w:hyperlink r:id="rId1" w:history="1">
        <w:r w:rsidR="00FF30B8" w:rsidRPr="000214BD">
          <w:rPr>
            <w:sz w:val="18"/>
            <w:szCs w:val="18"/>
          </w:rPr>
          <w:t>Medicine</w:t>
        </w:r>
      </w:hyperlink>
      <w:r w:rsidRPr="000214BD">
        <w:rPr>
          <w:sz w:val="18"/>
          <w:szCs w:val="18"/>
        </w:rPr>
        <w:t xml:space="preserve">. </w:t>
      </w:r>
      <w:r w:rsidR="00583B06" w:rsidRPr="000214BD">
        <w:rPr>
          <w:sz w:val="18"/>
          <w:szCs w:val="18"/>
        </w:rPr>
        <w:t>Abril de 2016</w:t>
      </w:r>
      <w:r w:rsidRPr="000214BD">
        <w:rPr>
          <w:sz w:val="18"/>
          <w:szCs w:val="18"/>
        </w:rPr>
        <w:t>; 95(15): e3361.</w:t>
      </w:r>
    </w:p>
  </w:footnote>
  <w:footnote w:id="2">
    <w:p w14:paraId="795A9111" w14:textId="0C84C8D3" w:rsidR="00D87C39" w:rsidRPr="000214BD" w:rsidRDefault="00D87C39" w:rsidP="000C3AEC">
      <w:pPr>
        <w:spacing w:after="0"/>
        <w:rPr>
          <w:sz w:val="18"/>
          <w:szCs w:val="18"/>
        </w:rPr>
      </w:pPr>
      <w:r w:rsidRPr="000214BD">
        <w:rPr>
          <w:rStyle w:val="FootnoteReference"/>
          <w:sz w:val="20"/>
          <w:szCs w:val="20"/>
        </w:rPr>
        <w:footnoteRef/>
      </w:r>
      <w:r w:rsidRPr="000214BD">
        <w:rPr>
          <w:sz w:val="18"/>
          <w:szCs w:val="18"/>
        </w:rPr>
        <w:t xml:space="preserve"> Shargie EB </w:t>
      </w:r>
      <w:r w:rsidRPr="000214BD">
        <w:rPr>
          <w:i/>
          <w:sz w:val="18"/>
          <w:szCs w:val="18"/>
        </w:rPr>
        <w:t>et al</w:t>
      </w:r>
      <w:r w:rsidRPr="000214BD">
        <w:rPr>
          <w:sz w:val="18"/>
          <w:szCs w:val="18"/>
        </w:rPr>
        <w:t>. Determinants of treatment adherence among smear-positive pulmonary tuberculosis patients in Southern Ethiopia. PLoS Med 2007; 4(2): e37</w:t>
      </w:r>
      <w:r w:rsidR="000214BD" w:rsidRPr="000214BD">
        <w:rPr>
          <w:sz w:val="18"/>
          <w:szCs w:val="18"/>
        </w:rPr>
        <w:t>.</w:t>
      </w:r>
    </w:p>
  </w:footnote>
  <w:footnote w:id="3">
    <w:p w14:paraId="227C36FC" w14:textId="7E6890B7" w:rsidR="00D87C39" w:rsidRPr="000214BD" w:rsidRDefault="00D87C39" w:rsidP="000C3AEC">
      <w:pPr>
        <w:spacing w:after="0"/>
        <w:rPr>
          <w:sz w:val="18"/>
          <w:szCs w:val="18"/>
        </w:rPr>
      </w:pPr>
      <w:r w:rsidRPr="000214BD">
        <w:rPr>
          <w:rStyle w:val="FootnoteReference"/>
          <w:sz w:val="20"/>
          <w:szCs w:val="20"/>
        </w:rPr>
        <w:footnoteRef/>
      </w:r>
      <w:r w:rsidRPr="000214BD">
        <w:rPr>
          <w:sz w:val="18"/>
          <w:szCs w:val="18"/>
        </w:rPr>
        <w:t xml:space="preserve"> Sandgren </w:t>
      </w:r>
      <w:r w:rsidRPr="000214BD">
        <w:rPr>
          <w:i/>
          <w:sz w:val="18"/>
          <w:szCs w:val="18"/>
        </w:rPr>
        <w:t>et al</w:t>
      </w:r>
      <w:r w:rsidRPr="000214BD">
        <w:rPr>
          <w:sz w:val="18"/>
          <w:szCs w:val="18"/>
        </w:rPr>
        <w:t>. Initiation and completion rates for latent tuberculosis infection treatment: A systematic r</w:t>
      </w:r>
      <w:r w:rsidR="000C3AEC" w:rsidRPr="000214BD">
        <w:rPr>
          <w:sz w:val="18"/>
          <w:szCs w:val="18"/>
        </w:rPr>
        <w:t xml:space="preserve">eview. BMC Infectious Diseases </w:t>
      </w:r>
      <w:r w:rsidRPr="000214BD">
        <w:rPr>
          <w:sz w:val="18"/>
          <w:szCs w:val="18"/>
        </w:rPr>
        <w:t>2016</w:t>
      </w:r>
      <w:r w:rsidR="00C731BD" w:rsidRPr="000214BD">
        <w:rPr>
          <w:sz w:val="18"/>
          <w:szCs w:val="18"/>
        </w:rPr>
        <w:t>;</w:t>
      </w:r>
      <w:r w:rsidRPr="000214BD">
        <w:rPr>
          <w:sz w:val="18"/>
          <w:szCs w:val="18"/>
        </w:rPr>
        <w:t xml:space="preserve"> 16:204</w:t>
      </w:r>
      <w:r w:rsidR="000214BD" w:rsidRPr="000214BD">
        <w:rPr>
          <w:sz w:val="18"/>
          <w:szCs w:val="18"/>
        </w:rPr>
        <w:t>.</w:t>
      </w:r>
    </w:p>
  </w:footnote>
  <w:footnote w:id="4">
    <w:p w14:paraId="12561420" w14:textId="2BCD4F51" w:rsidR="00D87C39" w:rsidRPr="000214BD" w:rsidRDefault="00D87C39" w:rsidP="000C3AEC">
      <w:pPr>
        <w:spacing w:after="0"/>
        <w:rPr>
          <w:sz w:val="18"/>
          <w:szCs w:val="18"/>
        </w:rPr>
      </w:pPr>
      <w:r w:rsidRPr="000214BD">
        <w:rPr>
          <w:rStyle w:val="FootnoteReference"/>
          <w:sz w:val="20"/>
          <w:szCs w:val="20"/>
        </w:rPr>
        <w:footnoteRef/>
      </w:r>
      <w:r w:rsidR="00F208F0" w:rsidRPr="000214BD">
        <w:rPr>
          <w:sz w:val="18"/>
          <w:szCs w:val="18"/>
        </w:rPr>
        <w:t xml:space="preserve"> </w:t>
      </w:r>
      <w:r w:rsidRPr="000214BD">
        <w:rPr>
          <w:sz w:val="18"/>
          <w:szCs w:val="18"/>
        </w:rPr>
        <w:t xml:space="preserve">Bruxvoort K </w:t>
      </w:r>
      <w:r w:rsidRPr="000214BD">
        <w:rPr>
          <w:i/>
          <w:sz w:val="18"/>
          <w:szCs w:val="18"/>
        </w:rPr>
        <w:t>et al</w:t>
      </w:r>
      <w:r w:rsidRPr="000214BD">
        <w:rPr>
          <w:sz w:val="18"/>
          <w:szCs w:val="18"/>
        </w:rPr>
        <w:t>. How patients take malaria treatment: A systematic review of the literature on adherence to antimalarial drugs.</w:t>
      </w:r>
      <w:r w:rsidR="00F51A5E" w:rsidRPr="000214BD">
        <w:rPr>
          <w:sz w:val="18"/>
          <w:szCs w:val="18"/>
        </w:rPr>
        <w:t xml:space="preserve"> </w:t>
      </w:r>
      <w:r w:rsidR="00C91E16" w:rsidRPr="000214BD">
        <w:rPr>
          <w:sz w:val="18"/>
          <w:szCs w:val="18"/>
        </w:rPr>
        <w:t>2014</w:t>
      </w:r>
      <w:r w:rsidR="00C731BD" w:rsidRPr="000214BD">
        <w:rPr>
          <w:sz w:val="18"/>
          <w:szCs w:val="18"/>
        </w:rPr>
        <w:t>;</w:t>
      </w:r>
      <w:r w:rsidR="00C91E16" w:rsidRPr="000214BD">
        <w:rPr>
          <w:sz w:val="18"/>
          <w:szCs w:val="18"/>
        </w:rPr>
        <w:t xml:space="preserve"> </w:t>
      </w:r>
      <w:proofErr w:type="spellStart"/>
      <w:r w:rsidR="000214BD" w:rsidRPr="000214BD">
        <w:rPr>
          <w:sz w:val="18"/>
          <w:szCs w:val="18"/>
        </w:rPr>
        <w:t>PLoS</w:t>
      </w:r>
      <w:proofErr w:type="spellEnd"/>
      <w:r w:rsidR="000214BD" w:rsidRPr="000214BD">
        <w:rPr>
          <w:sz w:val="18"/>
          <w:szCs w:val="18"/>
        </w:rPr>
        <w:t xml:space="preserve"> ONE 9(1): e84555.</w:t>
      </w:r>
    </w:p>
  </w:footnote>
  <w:footnote w:id="5">
    <w:p w14:paraId="0B4EDA68" w14:textId="66A9BE09" w:rsidR="00D87C39" w:rsidRPr="000214BD" w:rsidRDefault="00D87C39" w:rsidP="000C3AEC">
      <w:pPr>
        <w:spacing w:after="0"/>
        <w:rPr>
          <w:sz w:val="18"/>
          <w:szCs w:val="18"/>
        </w:rPr>
      </w:pPr>
      <w:r w:rsidRPr="000214BD">
        <w:rPr>
          <w:rStyle w:val="FootnoteReference"/>
          <w:sz w:val="20"/>
          <w:szCs w:val="20"/>
        </w:rPr>
        <w:footnoteRef/>
      </w:r>
      <w:r w:rsidRPr="000214BD">
        <w:rPr>
          <w:sz w:val="18"/>
          <w:szCs w:val="18"/>
        </w:rPr>
        <w:t xml:space="preserve"> Siddiqui MR </w:t>
      </w:r>
      <w:r w:rsidRPr="000214BD">
        <w:rPr>
          <w:i/>
          <w:sz w:val="18"/>
          <w:szCs w:val="18"/>
        </w:rPr>
        <w:t>et al</w:t>
      </w:r>
      <w:r w:rsidRPr="000214BD">
        <w:rPr>
          <w:sz w:val="18"/>
          <w:szCs w:val="18"/>
        </w:rPr>
        <w:t xml:space="preserve">. Adherence to Artemisinin Combination Therapy for the treatment of uncomplicated malaria in the Democratic Republic of the Congo. </w:t>
      </w:r>
      <w:hyperlink r:id="rId2" w:history="1">
        <w:r w:rsidRPr="000214BD">
          <w:rPr>
            <w:sz w:val="18"/>
            <w:szCs w:val="18"/>
          </w:rPr>
          <w:t>F1000Res</w:t>
        </w:r>
      </w:hyperlink>
      <w:r w:rsidRPr="000214BD">
        <w:rPr>
          <w:sz w:val="18"/>
          <w:szCs w:val="18"/>
        </w:rPr>
        <w:t>. 2015; 4: 51.</w:t>
      </w:r>
    </w:p>
  </w:footnote>
  <w:footnote w:id="6">
    <w:p w14:paraId="22D9F012" w14:textId="77CDCC03" w:rsidR="00445052" w:rsidRPr="000214BD" w:rsidRDefault="00445052" w:rsidP="00445052">
      <w:pPr>
        <w:pStyle w:val="FootnoteText"/>
        <w:rPr>
          <w:lang w:val="en-US"/>
        </w:rPr>
      </w:pPr>
      <w:r w:rsidRPr="000214BD">
        <w:rPr>
          <w:rStyle w:val="FootnoteReference"/>
        </w:rPr>
        <w:footnoteRef/>
      </w:r>
      <w:r w:rsidRPr="000214BD">
        <w:t xml:space="preserve"> </w:t>
      </w:r>
      <w:r w:rsidR="00C13643" w:rsidRPr="000214BD">
        <w:rPr>
          <w:sz w:val="18"/>
          <w:szCs w:val="18"/>
        </w:rPr>
        <w:t>Unitaid Technical Consultation Meeting: Bringing innovation to the frontline for impact—long-acting solutions to prevent and treat major infectious diseases, 1-2 de noviembre de 2018, Ginebra.</w:t>
      </w:r>
    </w:p>
  </w:footnote>
  <w:footnote w:id="7">
    <w:p w14:paraId="1DDB9711" w14:textId="692E4F70" w:rsidR="00445052" w:rsidRPr="000214BD" w:rsidRDefault="00445052" w:rsidP="00445052">
      <w:pPr>
        <w:pStyle w:val="FootnoteText"/>
        <w:rPr>
          <w:rStyle w:val="Hyperlink"/>
          <w:color w:val="auto"/>
          <w:u w:val="none"/>
        </w:rPr>
      </w:pPr>
      <w:r w:rsidRPr="000214BD">
        <w:rPr>
          <w:rStyle w:val="FootnoteReference"/>
          <w:spacing w:val="-4"/>
        </w:rPr>
        <w:footnoteRef/>
      </w:r>
      <w:r w:rsidRPr="000214BD">
        <w:rPr>
          <w:spacing w:val="-4"/>
        </w:rPr>
        <w:t xml:space="preserve"> </w:t>
      </w:r>
      <w:r w:rsidR="00C13643" w:rsidRPr="000214BD">
        <w:rPr>
          <w:sz w:val="18"/>
          <w:szCs w:val="18"/>
        </w:rPr>
        <w:t xml:space="preserve">Medicines Patent Pool and Unitaid intellectual Property Report on Long-Acting Technologies, </w:t>
      </w:r>
      <w:hyperlink r:id="rId3" w:history="1">
        <w:r w:rsidR="000214BD" w:rsidRPr="000214BD">
          <w:rPr>
            <w:rStyle w:val="Hyperlink"/>
            <w:color w:val="auto"/>
            <w:sz w:val="18"/>
            <w:szCs w:val="18"/>
            <w:u w:val="none"/>
          </w:rPr>
          <w:t>https://medicinespatentpool.org/uploads/2018/12/MPP-Unitaid_Intellectual-property-report-on-long-acting-technologies.pdf</w:t>
        </w:r>
      </w:hyperlink>
      <w:r w:rsidR="00A464D1" w:rsidRPr="000214BD">
        <w:rPr>
          <w:spacing w:val="-4"/>
          <w:sz w:val="18"/>
          <w:szCs w:val="18"/>
        </w:rPr>
        <w:t>.</w:t>
      </w:r>
    </w:p>
  </w:footnote>
  <w:footnote w:id="8">
    <w:p w14:paraId="0C3F2751" w14:textId="0F03F7C5" w:rsidR="00445052" w:rsidRPr="000214BD" w:rsidRDefault="00445052" w:rsidP="00445052">
      <w:pPr>
        <w:pStyle w:val="FootnoteText"/>
        <w:rPr>
          <w:lang w:val="en-US"/>
        </w:rPr>
      </w:pPr>
      <w:r w:rsidRPr="000214BD">
        <w:rPr>
          <w:rStyle w:val="FootnoteReference"/>
        </w:rPr>
        <w:footnoteRef/>
      </w:r>
      <w:r w:rsidRPr="000214BD">
        <w:t xml:space="preserve"> </w:t>
      </w:r>
      <w:r w:rsidR="00C13643" w:rsidRPr="000214BD">
        <w:rPr>
          <w:sz w:val="18"/>
          <w:szCs w:val="18"/>
        </w:rPr>
        <w:t>Marmora L</w:t>
      </w:r>
      <w:r w:rsidR="007E4D4F" w:rsidRPr="000214BD">
        <w:rPr>
          <w:sz w:val="18"/>
          <w:szCs w:val="18"/>
        </w:rPr>
        <w:t>.</w:t>
      </w:r>
      <w:r w:rsidR="00C13643" w:rsidRPr="000214BD">
        <w:rPr>
          <w:sz w:val="18"/>
          <w:szCs w:val="18"/>
        </w:rPr>
        <w:t xml:space="preserve"> </w:t>
      </w:r>
      <w:r w:rsidR="00C13643" w:rsidRPr="000214BD">
        <w:rPr>
          <w:i/>
          <w:sz w:val="18"/>
          <w:szCs w:val="18"/>
        </w:rPr>
        <w:t>et al.</w:t>
      </w:r>
      <w:r w:rsidR="00C13643" w:rsidRPr="000214BD">
        <w:rPr>
          <w:sz w:val="18"/>
          <w:szCs w:val="18"/>
        </w:rPr>
        <w:t xml:space="preserve"> Long-acting technologies for infectious diseases in LMICs. Lancet (2018) 392(10158):1610-1611.</w:t>
      </w:r>
    </w:p>
  </w:footnote>
  <w:footnote w:id="9">
    <w:p w14:paraId="6DD4147B" w14:textId="14181238" w:rsidR="00445052" w:rsidRPr="000214BD" w:rsidRDefault="00445052" w:rsidP="00991E24">
      <w:pPr>
        <w:pStyle w:val="FootnoteText"/>
        <w:jc w:val="both"/>
        <w:rPr>
          <w:lang w:val="en-US"/>
        </w:rPr>
      </w:pPr>
      <w:r w:rsidRPr="000214BD">
        <w:rPr>
          <w:rStyle w:val="FootnoteReference"/>
        </w:rPr>
        <w:footnoteRef/>
      </w:r>
      <w:r w:rsidRPr="000214BD">
        <w:t xml:space="preserve"> </w:t>
      </w:r>
      <w:r w:rsidR="00C13643" w:rsidRPr="000214BD">
        <w:rPr>
          <w:sz w:val="18"/>
          <w:szCs w:val="18"/>
        </w:rPr>
        <w:t>Unitaid Compendium of Technical and Market Information: Bringing innovation to the front line for impact—long-acting technologies for the prevention and treatment of maj</w:t>
      </w:r>
      <w:r w:rsidR="000E3B42" w:rsidRPr="000214BD">
        <w:rPr>
          <w:sz w:val="18"/>
          <w:szCs w:val="18"/>
        </w:rPr>
        <w:t>or infectious diseases, n</w:t>
      </w:r>
      <w:r w:rsidR="00C13643" w:rsidRPr="000214BD">
        <w:rPr>
          <w:sz w:val="18"/>
          <w:szCs w:val="18"/>
        </w:rPr>
        <w:t xml:space="preserve">oviembre </w:t>
      </w:r>
      <w:r w:rsidR="000E3B42" w:rsidRPr="000214BD">
        <w:rPr>
          <w:sz w:val="18"/>
          <w:szCs w:val="18"/>
        </w:rPr>
        <w:t xml:space="preserve">de </w:t>
      </w:r>
      <w:r w:rsidR="00C13643" w:rsidRPr="000214BD">
        <w:rPr>
          <w:sz w:val="18"/>
          <w:szCs w:val="18"/>
        </w:rPr>
        <w:t xml:space="preserve">2018. </w:t>
      </w:r>
      <w:r w:rsidR="00C13643" w:rsidRPr="000214BD">
        <w:rPr>
          <w:sz w:val="18"/>
          <w:szCs w:val="18"/>
          <w:highlight w:val="yellow"/>
        </w:rPr>
        <w:t>Añádase el enlace cuando se publique el documento</w:t>
      </w:r>
      <w:r w:rsidR="00C13643" w:rsidRPr="000214B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264A" w14:textId="77777777" w:rsidR="00D87C39" w:rsidRDefault="006C7A8D">
    <w:pPr>
      <w:pStyle w:val="Header"/>
    </w:pPr>
    <w:r>
      <w:rPr>
        <w:noProof/>
      </w:rPr>
      <w:pict w14:anchorId="78968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4990" o:spid="_x0000_s2051" type="#_x0000_t136" alt="" style="position:absolute;margin-left:0;margin-top:0;width:397.65pt;height:238.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4A4D" w14:textId="77777777" w:rsidR="00D87C39" w:rsidRDefault="006C7A8D" w:rsidP="005B5786">
    <w:pPr>
      <w:pStyle w:val="Header"/>
    </w:pPr>
    <w:r>
      <w:rPr>
        <w:noProof/>
      </w:rPr>
      <w:pict w14:anchorId="429C1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4991" o:spid="_x0000_s2050" type="#_x0000_t136" alt="" style="position:absolute;margin-left:0;margin-top:0;width:397.65pt;height:238.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p w14:paraId="113839D4" w14:textId="3BCEBD6E" w:rsidR="00D87C39" w:rsidRDefault="005F2522" w:rsidP="005B5786">
    <w:pPr>
      <w:pStyle w:val="Header"/>
    </w:pPr>
    <w:r>
      <w:t>BORRADOR</w:t>
    </w:r>
    <w:r w:rsidR="00445052" w:rsidRPr="00445052">
      <w:t xml:space="preserve"> 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858A" w14:textId="77777777" w:rsidR="00D87C39" w:rsidRDefault="006C7A8D">
    <w:pPr>
      <w:pStyle w:val="Header"/>
    </w:pPr>
    <w:r>
      <w:rPr>
        <w:noProof/>
      </w:rPr>
      <w:pict w14:anchorId="7A679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4989" o:spid="_x0000_s2049" type="#_x0000_t136" alt="" style="position:absolute;margin-left:0;margin-top:0;width:397.65pt;height:238.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CB"/>
    <w:multiLevelType w:val="hybridMultilevel"/>
    <w:tmpl w:val="5684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735E0"/>
    <w:multiLevelType w:val="hybridMultilevel"/>
    <w:tmpl w:val="220CB2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EF0F3F"/>
    <w:multiLevelType w:val="hybridMultilevel"/>
    <w:tmpl w:val="12FE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B177B"/>
    <w:multiLevelType w:val="hybridMultilevel"/>
    <w:tmpl w:val="33B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7BF7"/>
    <w:multiLevelType w:val="hybridMultilevel"/>
    <w:tmpl w:val="2522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63EDB"/>
    <w:multiLevelType w:val="hybridMultilevel"/>
    <w:tmpl w:val="C4F8095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B04F2"/>
    <w:multiLevelType w:val="hybridMultilevel"/>
    <w:tmpl w:val="CE0C1890"/>
    <w:lvl w:ilvl="0" w:tplc="CCF09552">
      <w:start w:val="3"/>
      <w:numFmt w:val="bullet"/>
      <w:lvlText w:val="•"/>
      <w:lvlJc w:val="left"/>
      <w:pPr>
        <w:ind w:left="721" w:hanging="360"/>
      </w:pPr>
      <w:rPr>
        <w:rFonts w:ascii="Calibri" w:eastAsia="Times New Roman" w:hAnsi="Calibri" w:cs="Calibri"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328974C2"/>
    <w:multiLevelType w:val="hybridMultilevel"/>
    <w:tmpl w:val="F75C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70E0A"/>
    <w:multiLevelType w:val="hybridMultilevel"/>
    <w:tmpl w:val="0ECE443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D29FE"/>
    <w:multiLevelType w:val="hybridMultilevel"/>
    <w:tmpl w:val="455C556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2E6674"/>
    <w:multiLevelType w:val="hybridMultilevel"/>
    <w:tmpl w:val="5F467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0B5140"/>
    <w:multiLevelType w:val="hybridMultilevel"/>
    <w:tmpl w:val="94A4EC8A"/>
    <w:lvl w:ilvl="0" w:tplc="E2AEF04E">
      <w:start w:val="2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D9043A"/>
    <w:multiLevelType w:val="hybridMultilevel"/>
    <w:tmpl w:val="ABAC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F5A38"/>
    <w:multiLevelType w:val="hybridMultilevel"/>
    <w:tmpl w:val="CF74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D145E"/>
    <w:multiLevelType w:val="hybridMultilevel"/>
    <w:tmpl w:val="0CCAF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7B1091F"/>
    <w:multiLevelType w:val="hybridMultilevel"/>
    <w:tmpl w:val="5AFE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5478D"/>
    <w:multiLevelType w:val="multilevel"/>
    <w:tmpl w:val="5D5E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66E63"/>
    <w:multiLevelType w:val="multilevel"/>
    <w:tmpl w:val="349C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12"/>
  </w:num>
  <w:num w:numId="4">
    <w:abstractNumId w:val="1"/>
  </w:num>
  <w:num w:numId="5">
    <w:abstractNumId w:val="13"/>
  </w:num>
  <w:num w:numId="6">
    <w:abstractNumId w:val="7"/>
  </w:num>
  <w:num w:numId="7">
    <w:abstractNumId w:val="0"/>
  </w:num>
  <w:num w:numId="8">
    <w:abstractNumId w:val="8"/>
  </w:num>
  <w:num w:numId="9">
    <w:abstractNumId w:val="15"/>
  </w:num>
  <w:num w:numId="10">
    <w:abstractNumId w:val="4"/>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3"/>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02"/>
    <w:rsid w:val="000214BD"/>
    <w:rsid w:val="00032334"/>
    <w:rsid w:val="00032809"/>
    <w:rsid w:val="0003353C"/>
    <w:rsid w:val="00035BAA"/>
    <w:rsid w:val="000444D9"/>
    <w:rsid w:val="00051F44"/>
    <w:rsid w:val="00054493"/>
    <w:rsid w:val="0005751B"/>
    <w:rsid w:val="00061F4C"/>
    <w:rsid w:val="000658BC"/>
    <w:rsid w:val="00083B29"/>
    <w:rsid w:val="000953B5"/>
    <w:rsid w:val="000965F8"/>
    <w:rsid w:val="000A2437"/>
    <w:rsid w:val="000A4448"/>
    <w:rsid w:val="000A5F8C"/>
    <w:rsid w:val="000C3AEC"/>
    <w:rsid w:val="000E3B42"/>
    <w:rsid w:val="000F3127"/>
    <w:rsid w:val="001106AB"/>
    <w:rsid w:val="00150429"/>
    <w:rsid w:val="001523CB"/>
    <w:rsid w:val="00160B38"/>
    <w:rsid w:val="00160FE6"/>
    <w:rsid w:val="00174D22"/>
    <w:rsid w:val="00185990"/>
    <w:rsid w:val="00190800"/>
    <w:rsid w:val="001A43A3"/>
    <w:rsid w:val="001A4E57"/>
    <w:rsid w:val="001C0DEC"/>
    <w:rsid w:val="001C4200"/>
    <w:rsid w:val="001D0525"/>
    <w:rsid w:val="001D09D2"/>
    <w:rsid w:val="001E3909"/>
    <w:rsid w:val="001E46FC"/>
    <w:rsid w:val="001E5189"/>
    <w:rsid w:val="001E7515"/>
    <w:rsid w:val="001F0CF5"/>
    <w:rsid w:val="001F19D8"/>
    <w:rsid w:val="001F71CD"/>
    <w:rsid w:val="00205D20"/>
    <w:rsid w:val="002106B8"/>
    <w:rsid w:val="00213B91"/>
    <w:rsid w:val="00224C34"/>
    <w:rsid w:val="00244950"/>
    <w:rsid w:val="00246420"/>
    <w:rsid w:val="002474B0"/>
    <w:rsid w:val="002503E9"/>
    <w:rsid w:val="00255C42"/>
    <w:rsid w:val="00265C4E"/>
    <w:rsid w:val="0027032A"/>
    <w:rsid w:val="00282D0C"/>
    <w:rsid w:val="002838F4"/>
    <w:rsid w:val="00285355"/>
    <w:rsid w:val="002B0365"/>
    <w:rsid w:val="002B4237"/>
    <w:rsid w:val="002C4354"/>
    <w:rsid w:val="002D2867"/>
    <w:rsid w:val="002D38F6"/>
    <w:rsid w:val="002D40A9"/>
    <w:rsid w:val="002D5CAC"/>
    <w:rsid w:val="002D6122"/>
    <w:rsid w:val="002E0D00"/>
    <w:rsid w:val="002E2213"/>
    <w:rsid w:val="00302EDB"/>
    <w:rsid w:val="003245F4"/>
    <w:rsid w:val="003301C2"/>
    <w:rsid w:val="00347123"/>
    <w:rsid w:val="00352568"/>
    <w:rsid w:val="003645E3"/>
    <w:rsid w:val="00373B56"/>
    <w:rsid w:val="00384624"/>
    <w:rsid w:val="003A34CE"/>
    <w:rsid w:val="003A3FDB"/>
    <w:rsid w:val="003A5E57"/>
    <w:rsid w:val="003B183C"/>
    <w:rsid w:val="003C3E17"/>
    <w:rsid w:val="003E422D"/>
    <w:rsid w:val="003E6741"/>
    <w:rsid w:val="00412345"/>
    <w:rsid w:val="00420DAD"/>
    <w:rsid w:val="00445052"/>
    <w:rsid w:val="00447EAF"/>
    <w:rsid w:val="00450B76"/>
    <w:rsid w:val="00454542"/>
    <w:rsid w:val="00474197"/>
    <w:rsid w:val="00474F94"/>
    <w:rsid w:val="00482099"/>
    <w:rsid w:val="00483F94"/>
    <w:rsid w:val="004906EE"/>
    <w:rsid w:val="004A2EB9"/>
    <w:rsid w:val="004A3FAA"/>
    <w:rsid w:val="004C1EFE"/>
    <w:rsid w:val="004D0C53"/>
    <w:rsid w:val="004E4C0C"/>
    <w:rsid w:val="004F5A12"/>
    <w:rsid w:val="004F778D"/>
    <w:rsid w:val="0050282F"/>
    <w:rsid w:val="00505073"/>
    <w:rsid w:val="005369D6"/>
    <w:rsid w:val="00541A74"/>
    <w:rsid w:val="00543D15"/>
    <w:rsid w:val="0056750A"/>
    <w:rsid w:val="005745D9"/>
    <w:rsid w:val="0057685F"/>
    <w:rsid w:val="00580E16"/>
    <w:rsid w:val="00583B06"/>
    <w:rsid w:val="005948DB"/>
    <w:rsid w:val="005A0556"/>
    <w:rsid w:val="005A7CE3"/>
    <w:rsid w:val="005B5786"/>
    <w:rsid w:val="005E00C1"/>
    <w:rsid w:val="005E1BF4"/>
    <w:rsid w:val="005F2522"/>
    <w:rsid w:val="005F56D1"/>
    <w:rsid w:val="0060101C"/>
    <w:rsid w:val="00614EE0"/>
    <w:rsid w:val="00616CE5"/>
    <w:rsid w:val="00621434"/>
    <w:rsid w:val="006454AE"/>
    <w:rsid w:val="006515F7"/>
    <w:rsid w:val="00665F54"/>
    <w:rsid w:val="0066647C"/>
    <w:rsid w:val="00667E80"/>
    <w:rsid w:val="00672AA7"/>
    <w:rsid w:val="0067320C"/>
    <w:rsid w:val="00687CC2"/>
    <w:rsid w:val="00690AEA"/>
    <w:rsid w:val="006913FE"/>
    <w:rsid w:val="006A4288"/>
    <w:rsid w:val="006B19FE"/>
    <w:rsid w:val="006B7D4E"/>
    <w:rsid w:val="006C7A8D"/>
    <w:rsid w:val="006D3A2B"/>
    <w:rsid w:val="006D71BE"/>
    <w:rsid w:val="006F0445"/>
    <w:rsid w:val="006F3C6D"/>
    <w:rsid w:val="007239D5"/>
    <w:rsid w:val="00724BBE"/>
    <w:rsid w:val="00724BFC"/>
    <w:rsid w:val="00726519"/>
    <w:rsid w:val="007311D3"/>
    <w:rsid w:val="00731C63"/>
    <w:rsid w:val="007405D1"/>
    <w:rsid w:val="00743F69"/>
    <w:rsid w:val="00754CF9"/>
    <w:rsid w:val="00755AEB"/>
    <w:rsid w:val="007567D5"/>
    <w:rsid w:val="00765D85"/>
    <w:rsid w:val="00767992"/>
    <w:rsid w:val="00772DED"/>
    <w:rsid w:val="00780760"/>
    <w:rsid w:val="007812D1"/>
    <w:rsid w:val="00791D75"/>
    <w:rsid w:val="00793816"/>
    <w:rsid w:val="00796401"/>
    <w:rsid w:val="00797A3E"/>
    <w:rsid w:val="007A390B"/>
    <w:rsid w:val="007B1A9F"/>
    <w:rsid w:val="007B5449"/>
    <w:rsid w:val="007C7066"/>
    <w:rsid w:val="007D0DCF"/>
    <w:rsid w:val="007E17EE"/>
    <w:rsid w:val="007E4D4F"/>
    <w:rsid w:val="00811389"/>
    <w:rsid w:val="0081567B"/>
    <w:rsid w:val="00827BF8"/>
    <w:rsid w:val="0083009D"/>
    <w:rsid w:val="008303C9"/>
    <w:rsid w:val="00830BE1"/>
    <w:rsid w:val="008335BB"/>
    <w:rsid w:val="008347DB"/>
    <w:rsid w:val="00844A6E"/>
    <w:rsid w:val="008720C8"/>
    <w:rsid w:val="008773A4"/>
    <w:rsid w:val="00877F30"/>
    <w:rsid w:val="008A4486"/>
    <w:rsid w:val="008C455A"/>
    <w:rsid w:val="008D4956"/>
    <w:rsid w:val="008E16EF"/>
    <w:rsid w:val="008F42A1"/>
    <w:rsid w:val="008F6CF8"/>
    <w:rsid w:val="00906A1F"/>
    <w:rsid w:val="00910532"/>
    <w:rsid w:val="00925055"/>
    <w:rsid w:val="009303DB"/>
    <w:rsid w:val="00932FC3"/>
    <w:rsid w:val="00955968"/>
    <w:rsid w:val="00963F62"/>
    <w:rsid w:val="009674C8"/>
    <w:rsid w:val="00991E24"/>
    <w:rsid w:val="009A3DDF"/>
    <w:rsid w:val="009B4E8B"/>
    <w:rsid w:val="009E263E"/>
    <w:rsid w:val="009F3D69"/>
    <w:rsid w:val="009F6576"/>
    <w:rsid w:val="00A147F3"/>
    <w:rsid w:val="00A149A3"/>
    <w:rsid w:val="00A20713"/>
    <w:rsid w:val="00A31847"/>
    <w:rsid w:val="00A32584"/>
    <w:rsid w:val="00A33ED6"/>
    <w:rsid w:val="00A42A02"/>
    <w:rsid w:val="00A45979"/>
    <w:rsid w:val="00A464D1"/>
    <w:rsid w:val="00A511AE"/>
    <w:rsid w:val="00A51AAD"/>
    <w:rsid w:val="00A563B1"/>
    <w:rsid w:val="00A76B83"/>
    <w:rsid w:val="00A93234"/>
    <w:rsid w:val="00A95F6C"/>
    <w:rsid w:val="00AA3CC9"/>
    <w:rsid w:val="00AA76C1"/>
    <w:rsid w:val="00AB2677"/>
    <w:rsid w:val="00AB5CDF"/>
    <w:rsid w:val="00AC35F5"/>
    <w:rsid w:val="00AC480A"/>
    <w:rsid w:val="00AC50A6"/>
    <w:rsid w:val="00AD69FE"/>
    <w:rsid w:val="00AE6356"/>
    <w:rsid w:val="00B00962"/>
    <w:rsid w:val="00B0254C"/>
    <w:rsid w:val="00B16F9E"/>
    <w:rsid w:val="00B1723A"/>
    <w:rsid w:val="00B20867"/>
    <w:rsid w:val="00B20976"/>
    <w:rsid w:val="00B46747"/>
    <w:rsid w:val="00B6693F"/>
    <w:rsid w:val="00BA6555"/>
    <w:rsid w:val="00BA78DA"/>
    <w:rsid w:val="00BB3FE3"/>
    <w:rsid w:val="00BB7AB5"/>
    <w:rsid w:val="00BB7CD7"/>
    <w:rsid w:val="00C000FB"/>
    <w:rsid w:val="00C07DB7"/>
    <w:rsid w:val="00C13643"/>
    <w:rsid w:val="00C14B9B"/>
    <w:rsid w:val="00C20DED"/>
    <w:rsid w:val="00C22273"/>
    <w:rsid w:val="00C269EB"/>
    <w:rsid w:val="00C43FF1"/>
    <w:rsid w:val="00C623D3"/>
    <w:rsid w:val="00C731BD"/>
    <w:rsid w:val="00C74396"/>
    <w:rsid w:val="00C8201A"/>
    <w:rsid w:val="00C87B8B"/>
    <w:rsid w:val="00C91E16"/>
    <w:rsid w:val="00C93721"/>
    <w:rsid w:val="00CA2ACB"/>
    <w:rsid w:val="00CA41B2"/>
    <w:rsid w:val="00CB06CE"/>
    <w:rsid w:val="00CC4E83"/>
    <w:rsid w:val="00CD4C94"/>
    <w:rsid w:val="00CE0C4F"/>
    <w:rsid w:val="00CE3D00"/>
    <w:rsid w:val="00CE6E4E"/>
    <w:rsid w:val="00CE7A80"/>
    <w:rsid w:val="00CF0C02"/>
    <w:rsid w:val="00CF7D4D"/>
    <w:rsid w:val="00D421AD"/>
    <w:rsid w:val="00D42C50"/>
    <w:rsid w:val="00D440E7"/>
    <w:rsid w:val="00D45A2B"/>
    <w:rsid w:val="00D46FC9"/>
    <w:rsid w:val="00D51739"/>
    <w:rsid w:val="00D61468"/>
    <w:rsid w:val="00D66C03"/>
    <w:rsid w:val="00D726B3"/>
    <w:rsid w:val="00D87C39"/>
    <w:rsid w:val="00D94FC6"/>
    <w:rsid w:val="00DA351E"/>
    <w:rsid w:val="00DA42AE"/>
    <w:rsid w:val="00DB3156"/>
    <w:rsid w:val="00DC0A97"/>
    <w:rsid w:val="00DD659A"/>
    <w:rsid w:val="00DD79CD"/>
    <w:rsid w:val="00DF1985"/>
    <w:rsid w:val="00DF7880"/>
    <w:rsid w:val="00E00B4A"/>
    <w:rsid w:val="00E031F0"/>
    <w:rsid w:val="00E1564F"/>
    <w:rsid w:val="00E157F9"/>
    <w:rsid w:val="00E16B52"/>
    <w:rsid w:val="00E20A19"/>
    <w:rsid w:val="00E61F95"/>
    <w:rsid w:val="00E75A1E"/>
    <w:rsid w:val="00E7608A"/>
    <w:rsid w:val="00E81488"/>
    <w:rsid w:val="00E81932"/>
    <w:rsid w:val="00EA281A"/>
    <w:rsid w:val="00EB0F45"/>
    <w:rsid w:val="00EB19BE"/>
    <w:rsid w:val="00EB3659"/>
    <w:rsid w:val="00EC6BC9"/>
    <w:rsid w:val="00ED16FC"/>
    <w:rsid w:val="00EE47E7"/>
    <w:rsid w:val="00EE7900"/>
    <w:rsid w:val="00EE7E93"/>
    <w:rsid w:val="00EF68EF"/>
    <w:rsid w:val="00EF6E59"/>
    <w:rsid w:val="00F00D8A"/>
    <w:rsid w:val="00F06BEA"/>
    <w:rsid w:val="00F208F0"/>
    <w:rsid w:val="00F25711"/>
    <w:rsid w:val="00F34F5D"/>
    <w:rsid w:val="00F51A5E"/>
    <w:rsid w:val="00F52DD3"/>
    <w:rsid w:val="00F5500E"/>
    <w:rsid w:val="00F63140"/>
    <w:rsid w:val="00F766C4"/>
    <w:rsid w:val="00F77BA8"/>
    <w:rsid w:val="00F904C7"/>
    <w:rsid w:val="00F9117D"/>
    <w:rsid w:val="00FA638C"/>
    <w:rsid w:val="00FB043E"/>
    <w:rsid w:val="00FB4DFF"/>
    <w:rsid w:val="00FD664F"/>
    <w:rsid w:val="00FF079B"/>
    <w:rsid w:val="00FF30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2BC18"/>
  <w15:docId w15:val="{8FFC2911-8246-4098-A4B2-6DC92C59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E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C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tenseQuote">
    <w:name w:val="Intense Quote"/>
    <w:basedOn w:val="Normal"/>
    <w:next w:val="Normal"/>
    <w:link w:val="IntenseQuoteChar"/>
    <w:uiPriority w:val="30"/>
    <w:qFormat/>
    <w:rsid w:val="001E39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909"/>
    <w:rPr>
      <w:b/>
      <w:bCs/>
      <w:i/>
      <w:iCs/>
      <w:color w:val="4F81BD" w:themeColor="accent1"/>
    </w:rPr>
  </w:style>
  <w:style w:type="paragraph" w:styleId="ListParagraph">
    <w:name w:val="List Paragraph"/>
    <w:basedOn w:val="Normal"/>
    <w:uiPriority w:val="34"/>
    <w:qFormat/>
    <w:rsid w:val="0027032A"/>
    <w:pPr>
      <w:ind w:left="720"/>
      <w:contextualSpacing/>
    </w:pPr>
  </w:style>
  <w:style w:type="character" w:styleId="Hyperlink">
    <w:name w:val="Hyperlink"/>
    <w:uiPriority w:val="99"/>
    <w:unhideWhenUsed/>
    <w:rsid w:val="00FD664F"/>
    <w:rPr>
      <w:color w:val="0000FF"/>
      <w:u w:val="single"/>
    </w:rPr>
  </w:style>
  <w:style w:type="paragraph" w:styleId="BalloonText">
    <w:name w:val="Balloon Text"/>
    <w:basedOn w:val="Normal"/>
    <w:link w:val="BalloonTextChar"/>
    <w:uiPriority w:val="99"/>
    <w:semiHidden/>
    <w:unhideWhenUsed/>
    <w:rsid w:val="00FD6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4F"/>
    <w:rPr>
      <w:rFonts w:ascii="Tahoma" w:hAnsi="Tahoma" w:cs="Tahoma"/>
      <w:sz w:val="16"/>
      <w:szCs w:val="16"/>
    </w:rPr>
  </w:style>
  <w:style w:type="character" w:styleId="FollowedHyperlink">
    <w:name w:val="FollowedHyperlink"/>
    <w:basedOn w:val="DefaultParagraphFont"/>
    <w:uiPriority w:val="99"/>
    <w:semiHidden/>
    <w:unhideWhenUsed/>
    <w:rsid w:val="007A390B"/>
    <w:rPr>
      <w:color w:val="800080" w:themeColor="followedHyperlink"/>
      <w:u w:val="single"/>
    </w:rPr>
  </w:style>
  <w:style w:type="paragraph" w:styleId="Header">
    <w:name w:val="header"/>
    <w:basedOn w:val="Normal"/>
    <w:link w:val="HeaderChar"/>
    <w:uiPriority w:val="99"/>
    <w:unhideWhenUsed/>
    <w:rsid w:val="00AE6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356"/>
  </w:style>
  <w:style w:type="paragraph" w:styleId="Footer">
    <w:name w:val="footer"/>
    <w:basedOn w:val="Normal"/>
    <w:link w:val="FooterChar"/>
    <w:uiPriority w:val="99"/>
    <w:unhideWhenUsed/>
    <w:rsid w:val="00AE6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356"/>
  </w:style>
  <w:style w:type="character" w:styleId="CommentReference">
    <w:name w:val="annotation reference"/>
    <w:basedOn w:val="DefaultParagraphFont"/>
    <w:uiPriority w:val="99"/>
    <w:semiHidden/>
    <w:unhideWhenUsed/>
    <w:rsid w:val="008F6CF8"/>
    <w:rPr>
      <w:sz w:val="16"/>
      <w:szCs w:val="16"/>
    </w:rPr>
  </w:style>
  <w:style w:type="paragraph" w:styleId="CommentText">
    <w:name w:val="annotation text"/>
    <w:basedOn w:val="Normal"/>
    <w:link w:val="CommentTextChar"/>
    <w:uiPriority w:val="99"/>
    <w:unhideWhenUsed/>
    <w:rsid w:val="008F6CF8"/>
    <w:pPr>
      <w:spacing w:line="240" w:lineRule="auto"/>
    </w:pPr>
    <w:rPr>
      <w:sz w:val="20"/>
      <w:szCs w:val="20"/>
    </w:rPr>
  </w:style>
  <w:style w:type="character" w:customStyle="1" w:styleId="CommentTextChar">
    <w:name w:val="Comment Text Char"/>
    <w:basedOn w:val="DefaultParagraphFont"/>
    <w:link w:val="CommentText"/>
    <w:uiPriority w:val="99"/>
    <w:rsid w:val="008F6CF8"/>
    <w:rPr>
      <w:sz w:val="20"/>
      <w:szCs w:val="20"/>
    </w:rPr>
  </w:style>
  <w:style w:type="paragraph" w:styleId="CommentSubject">
    <w:name w:val="annotation subject"/>
    <w:basedOn w:val="CommentText"/>
    <w:next w:val="CommentText"/>
    <w:link w:val="CommentSubjectChar"/>
    <w:uiPriority w:val="99"/>
    <w:semiHidden/>
    <w:unhideWhenUsed/>
    <w:rsid w:val="008F6CF8"/>
    <w:rPr>
      <w:b/>
      <w:bCs/>
    </w:rPr>
  </w:style>
  <w:style w:type="character" w:customStyle="1" w:styleId="CommentSubjectChar">
    <w:name w:val="Comment Subject Char"/>
    <w:basedOn w:val="CommentTextChar"/>
    <w:link w:val="CommentSubject"/>
    <w:uiPriority w:val="99"/>
    <w:semiHidden/>
    <w:rsid w:val="008F6CF8"/>
    <w:rPr>
      <w:b/>
      <w:bCs/>
      <w:sz w:val="20"/>
      <w:szCs w:val="20"/>
    </w:rPr>
  </w:style>
  <w:style w:type="character" w:styleId="FootnoteReference">
    <w:name w:val="footnote reference"/>
    <w:basedOn w:val="DefaultParagraphFont"/>
    <w:uiPriority w:val="99"/>
    <w:semiHidden/>
    <w:unhideWhenUsed/>
    <w:rsid w:val="008D4956"/>
    <w:rPr>
      <w:vertAlign w:val="superscript"/>
    </w:rPr>
  </w:style>
  <w:style w:type="paragraph" w:styleId="Revision">
    <w:name w:val="Revision"/>
    <w:hidden/>
    <w:uiPriority w:val="99"/>
    <w:semiHidden/>
    <w:rsid w:val="003E6741"/>
    <w:pPr>
      <w:spacing w:after="0" w:line="240" w:lineRule="auto"/>
    </w:pPr>
  </w:style>
  <w:style w:type="character" w:styleId="Strong">
    <w:name w:val="Strong"/>
    <w:basedOn w:val="DefaultParagraphFont"/>
    <w:uiPriority w:val="22"/>
    <w:qFormat/>
    <w:rsid w:val="006454AE"/>
    <w:rPr>
      <w:b/>
      <w:bCs/>
    </w:rPr>
  </w:style>
  <w:style w:type="character" w:customStyle="1" w:styleId="Heading1Char">
    <w:name w:val="Heading 1 Char"/>
    <w:basedOn w:val="DefaultParagraphFont"/>
    <w:link w:val="Heading1"/>
    <w:uiPriority w:val="9"/>
    <w:rsid w:val="00EF6E5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384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624"/>
    <w:rPr>
      <w:sz w:val="20"/>
      <w:szCs w:val="20"/>
    </w:rPr>
  </w:style>
  <w:style w:type="character" w:styleId="UnresolvedMention">
    <w:name w:val="Unresolved Mention"/>
    <w:basedOn w:val="DefaultParagraphFont"/>
    <w:uiPriority w:val="99"/>
    <w:semiHidden/>
    <w:unhideWhenUsed/>
    <w:rsid w:val="00FF30B8"/>
    <w:rPr>
      <w:color w:val="808080"/>
      <w:shd w:val="clear" w:color="auto" w:fill="E6E6E6"/>
    </w:rPr>
  </w:style>
  <w:style w:type="paragraph" w:customStyle="1" w:styleId="std">
    <w:name w:val="std"/>
    <w:basedOn w:val="Normal"/>
    <w:rsid w:val="00844A6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9629">
      <w:bodyDiv w:val="1"/>
      <w:marLeft w:val="0"/>
      <w:marRight w:val="0"/>
      <w:marTop w:val="0"/>
      <w:marBottom w:val="0"/>
      <w:divBdr>
        <w:top w:val="none" w:sz="0" w:space="0" w:color="auto"/>
        <w:left w:val="none" w:sz="0" w:space="0" w:color="auto"/>
        <w:bottom w:val="none" w:sz="0" w:space="0" w:color="auto"/>
        <w:right w:val="none" w:sz="0" w:space="0" w:color="auto"/>
      </w:divBdr>
    </w:div>
    <w:div w:id="296493730">
      <w:bodyDiv w:val="1"/>
      <w:marLeft w:val="0"/>
      <w:marRight w:val="0"/>
      <w:marTop w:val="0"/>
      <w:marBottom w:val="0"/>
      <w:divBdr>
        <w:top w:val="none" w:sz="0" w:space="0" w:color="auto"/>
        <w:left w:val="none" w:sz="0" w:space="0" w:color="auto"/>
        <w:bottom w:val="none" w:sz="0" w:space="0" w:color="auto"/>
        <w:right w:val="none" w:sz="0" w:space="0" w:color="auto"/>
      </w:divBdr>
    </w:div>
    <w:div w:id="736637275">
      <w:bodyDiv w:val="1"/>
      <w:marLeft w:val="0"/>
      <w:marRight w:val="0"/>
      <w:marTop w:val="0"/>
      <w:marBottom w:val="0"/>
      <w:divBdr>
        <w:top w:val="none" w:sz="0" w:space="0" w:color="auto"/>
        <w:left w:val="none" w:sz="0" w:space="0" w:color="auto"/>
        <w:bottom w:val="none" w:sz="0" w:space="0" w:color="auto"/>
        <w:right w:val="none" w:sz="0" w:space="0" w:color="auto"/>
      </w:divBdr>
    </w:div>
    <w:div w:id="886527422">
      <w:bodyDiv w:val="1"/>
      <w:marLeft w:val="0"/>
      <w:marRight w:val="0"/>
      <w:marTop w:val="0"/>
      <w:marBottom w:val="0"/>
      <w:divBdr>
        <w:top w:val="none" w:sz="0" w:space="0" w:color="auto"/>
        <w:left w:val="none" w:sz="0" w:space="0" w:color="auto"/>
        <w:bottom w:val="none" w:sz="0" w:space="0" w:color="auto"/>
        <w:right w:val="none" w:sz="0" w:space="0" w:color="auto"/>
      </w:divBdr>
    </w:div>
    <w:div w:id="945573802">
      <w:bodyDiv w:val="1"/>
      <w:marLeft w:val="0"/>
      <w:marRight w:val="0"/>
      <w:marTop w:val="0"/>
      <w:marBottom w:val="0"/>
      <w:divBdr>
        <w:top w:val="none" w:sz="0" w:space="0" w:color="auto"/>
        <w:left w:val="none" w:sz="0" w:space="0" w:color="auto"/>
        <w:bottom w:val="none" w:sz="0" w:space="0" w:color="auto"/>
        <w:right w:val="none" w:sz="0" w:space="0" w:color="auto"/>
      </w:divBdr>
    </w:div>
    <w:div w:id="18808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IMS.WHO.INT\HQ\GVA11\Secure\Departments\Dept-GBS\t-TRA\UnitData\Market%20Dynamics%20II\1%20HIV\8%20Call%20for%20proposals%20and%20go%20ahead\2017%20ST\Call%20for%20proposal" TargetMode="External"/><Relationship Id="rId13" Type="http://schemas.openxmlformats.org/officeDocument/2006/relationships/hyperlink" Target="https://unitaid.eu/assets/Proposal-process-201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posalsunitaid@who.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osalsunitaid@who.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posalsunitaid@who.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nitaid.org/images/call_proposals/january_2017/Intention_to_submit_proposal_form.doc"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dicinespatentpool.org/uploads/2018/12/MPP-Unitaid_Intellectual-property-report-on-long-acting-technologies.pdf" TargetMode="External"/><Relationship Id="rId2" Type="http://schemas.openxmlformats.org/officeDocument/2006/relationships/hyperlink" Target="https://www.ncbi.nlm.nih.gov/pmc/articles/PMC4406189/" TargetMode="External"/><Relationship Id="rId1" Type="http://schemas.openxmlformats.org/officeDocument/2006/relationships/hyperlink" Target="https://www.ncbi.nlm.nih.gov/pmc/articles/PMC4839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12C9-F112-43B7-9A89-06A527AD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CASAS, Carmen</dc:creator>
  <cp:keywords/>
  <dc:description/>
  <cp:lastModifiedBy>PAVELSONS, Martins</cp:lastModifiedBy>
  <cp:revision>14</cp:revision>
  <cp:lastPrinted>2019-01-29T18:49:00Z</cp:lastPrinted>
  <dcterms:created xsi:type="dcterms:W3CDTF">2019-01-30T11:00:00Z</dcterms:created>
  <dcterms:modified xsi:type="dcterms:W3CDTF">2019-02-01T10:11:00Z</dcterms:modified>
</cp:coreProperties>
</file>