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0DEAA" w14:textId="77777777" w:rsidR="00125677" w:rsidRPr="00B943ED" w:rsidRDefault="00125677" w:rsidP="00125677">
      <w:bookmarkStart w:id="0" w:name="_GoBack"/>
      <w:bookmarkEnd w:id="0"/>
      <w:r w:rsidRPr="00B943ED">
        <w:rPr>
          <w:noProof/>
          <w:lang w:val="en-US"/>
        </w:rPr>
        <w:drawing>
          <wp:inline distT="0" distB="0" distL="0" distR="0" wp14:anchorId="48302C25" wp14:editId="7B1A5CA2">
            <wp:extent cx="420625" cy="42367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420625" cy="423673"/>
                    </a:xfrm>
                    <a:prstGeom prst="rect">
                      <a:avLst/>
                    </a:prstGeom>
                  </pic:spPr>
                </pic:pic>
              </a:graphicData>
            </a:graphic>
          </wp:inline>
        </w:drawing>
      </w:r>
    </w:p>
    <w:p w14:paraId="567AFF84" w14:textId="77777777" w:rsidR="00125677" w:rsidRPr="00677560" w:rsidRDefault="00125677" w:rsidP="00125677">
      <w:pPr>
        <w:rPr>
          <w:sz w:val="28"/>
        </w:rPr>
      </w:pPr>
    </w:p>
    <w:p w14:paraId="146E2AC6" w14:textId="4526A194" w:rsidR="00465E73" w:rsidRPr="00A11B68" w:rsidRDefault="00B55E9C" w:rsidP="00465E73">
      <w:pPr>
        <w:rPr>
          <w:b/>
          <w:smallCaps/>
          <w:sz w:val="36"/>
        </w:rPr>
      </w:pPr>
      <w:r>
        <w:rPr>
          <w:b/>
          <w:smallCaps/>
          <w:sz w:val="36"/>
        </w:rPr>
        <w:t>Unitaid</w:t>
      </w:r>
    </w:p>
    <w:p w14:paraId="616B9BA2" w14:textId="1BB2010B" w:rsidR="00465E73" w:rsidRPr="00A11B68" w:rsidRDefault="00465E73" w:rsidP="00465E73">
      <w:pPr>
        <w:rPr>
          <w:b/>
          <w:smallCaps/>
          <w:sz w:val="36"/>
          <w:szCs w:val="36"/>
        </w:rPr>
      </w:pPr>
      <w:r>
        <w:rPr>
          <w:b/>
          <w:smallCaps/>
          <w:sz w:val="36"/>
          <w:szCs w:val="36"/>
        </w:rPr>
        <w:t>End</w:t>
      </w:r>
      <w:r w:rsidR="00F60492">
        <w:rPr>
          <w:b/>
          <w:smallCaps/>
          <w:sz w:val="36"/>
          <w:szCs w:val="36"/>
        </w:rPr>
        <w:t>-</w:t>
      </w:r>
      <w:r>
        <w:rPr>
          <w:b/>
          <w:smallCaps/>
          <w:sz w:val="36"/>
          <w:szCs w:val="36"/>
        </w:rPr>
        <w:t>of</w:t>
      </w:r>
      <w:r w:rsidR="00F60492">
        <w:rPr>
          <w:b/>
          <w:smallCaps/>
          <w:sz w:val="36"/>
          <w:szCs w:val="36"/>
        </w:rPr>
        <w:t>-</w:t>
      </w:r>
      <w:r w:rsidR="00690BEA">
        <w:rPr>
          <w:b/>
          <w:smallCaps/>
          <w:sz w:val="36"/>
          <w:szCs w:val="36"/>
        </w:rPr>
        <w:t xml:space="preserve">Project Evaluation </w:t>
      </w:r>
      <w:r>
        <w:rPr>
          <w:b/>
          <w:smallCaps/>
          <w:sz w:val="36"/>
          <w:szCs w:val="36"/>
        </w:rPr>
        <w:t xml:space="preserve">– MSF </w:t>
      </w:r>
      <w:r w:rsidR="007F5F65">
        <w:rPr>
          <w:b/>
          <w:smallCaps/>
          <w:sz w:val="36"/>
          <w:szCs w:val="36"/>
        </w:rPr>
        <w:t>G</w:t>
      </w:r>
      <w:r w:rsidR="00690BEA">
        <w:rPr>
          <w:b/>
          <w:smallCaps/>
          <w:sz w:val="36"/>
          <w:szCs w:val="36"/>
        </w:rPr>
        <w:t>ran</w:t>
      </w:r>
      <w:r>
        <w:rPr>
          <w:b/>
          <w:smallCaps/>
          <w:sz w:val="36"/>
          <w:szCs w:val="36"/>
        </w:rPr>
        <w:t xml:space="preserve">t on </w:t>
      </w:r>
      <w:r w:rsidR="007F5F65">
        <w:rPr>
          <w:b/>
          <w:smallCaps/>
          <w:sz w:val="36"/>
          <w:szCs w:val="36"/>
        </w:rPr>
        <w:t>I</w:t>
      </w:r>
      <w:r w:rsidR="00690BEA">
        <w:rPr>
          <w:b/>
          <w:smallCaps/>
          <w:sz w:val="36"/>
          <w:szCs w:val="36"/>
        </w:rPr>
        <w:t xml:space="preserve">mplementation </w:t>
      </w:r>
      <w:r>
        <w:rPr>
          <w:b/>
          <w:smallCaps/>
          <w:sz w:val="36"/>
          <w:szCs w:val="36"/>
        </w:rPr>
        <w:t xml:space="preserve">of CD4 and </w:t>
      </w:r>
      <w:r w:rsidR="00690BEA">
        <w:rPr>
          <w:b/>
          <w:smallCaps/>
          <w:sz w:val="36"/>
          <w:szCs w:val="36"/>
        </w:rPr>
        <w:t xml:space="preserve">Viral Load Testing </w:t>
      </w:r>
      <w:r w:rsidR="006141BE">
        <w:rPr>
          <w:b/>
          <w:smallCaps/>
          <w:sz w:val="36"/>
          <w:szCs w:val="36"/>
        </w:rPr>
        <w:t xml:space="preserve">in </w:t>
      </w:r>
      <w:r w:rsidR="00690BEA">
        <w:rPr>
          <w:b/>
          <w:smallCaps/>
          <w:sz w:val="36"/>
          <w:szCs w:val="36"/>
        </w:rPr>
        <w:t>Resource</w:t>
      </w:r>
      <w:r w:rsidR="006141BE">
        <w:rPr>
          <w:b/>
          <w:smallCaps/>
          <w:sz w:val="36"/>
          <w:szCs w:val="36"/>
        </w:rPr>
        <w:t>-</w:t>
      </w:r>
      <w:r w:rsidR="00690BEA">
        <w:rPr>
          <w:b/>
          <w:smallCaps/>
          <w:sz w:val="36"/>
          <w:szCs w:val="36"/>
        </w:rPr>
        <w:t>Limited Settings</w:t>
      </w:r>
    </w:p>
    <w:p w14:paraId="448A285D" w14:textId="2C046A04" w:rsidR="00125677" w:rsidRPr="00677560" w:rsidRDefault="00125677" w:rsidP="00125677">
      <w:pPr>
        <w:pBdr>
          <w:bottom w:val="single" w:sz="12" w:space="1" w:color="808080"/>
        </w:pBdr>
        <w:rPr>
          <w:b/>
          <w:smallCaps/>
          <w:sz w:val="36"/>
        </w:rPr>
      </w:pPr>
    </w:p>
    <w:p w14:paraId="033B639C" w14:textId="77777777" w:rsidR="00125677" w:rsidRPr="00B943ED" w:rsidRDefault="00125677" w:rsidP="00125677">
      <w:pPr>
        <w:rPr>
          <w:b/>
          <w:smallCaps/>
          <w:sz w:val="32"/>
        </w:rPr>
      </w:pPr>
    </w:p>
    <w:p w14:paraId="186919C3" w14:textId="77777777" w:rsidR="00125677" w:rsidRPr="00B943ED" w:rsidRDefault="00125677" w:rsidP="00125677">
      <w:pPr>
        <w:rPr>
          <w:b/>
          <w:smallCaps/>
          <w:sz w:val="32"/>
        </w:rPr>
      </w:pPr>
    </w:p>
    <w:p w14:paraId="130E0943" w14:textId="77777777" w:rsidR="00125677" w:rsidRPr="00B943ED" w:rsidRDefault="00125677" w:rsidP="00677560">
      <w:pPr>
        <w:pStyle w:val="CEPASubtitle"/>
        <w:pBdr>
          <w:bottom w:val="none" w:sz="0" w:space="0" w:color="auto"/>
        </w:pBdr>
        <w:spacing w:before="0" w:after="0" w:line="240" w:lineRule="auto"/>
      </w:pPr>
    </w:p>
    <w:p w14:paraId="67846E7B" w14:textId="77777777" w:rsidR="00690BEA" w:rsidRPr="00B943ED" w:rsidRDefault="00690BEA" w:rsidP="00125677">
      <w:pPr>
        <w:rPr>
          <w:b/>
          <w:smallCaps/>
          <w:sz w:val="32"/>
        </w:rPr>
      </w:pPr>
    </w:p>
    <w:p w14:paraId="5FD5B32D" w14:textId="77777777" w:rsidR="00125677" w:rsidRPr="00B943ED" w:rsidRDefault="00125677" w:rsidP="00125677">
      <w:pPr>
        <w:rPr>
          <w:b/>
          <w:smallCaps/>
          <w:sz w:val="32"/>
        </w:rPr>
      </w:pPr>
    </w:p>
    <w:p w14:paraId="6F085430" w14:textId="77777777" w:rsidR="00125677" w:rsidRPr="00B943ED" w:rsidRDefault="00125677" w:rsidP="00125677">
      <w:pPr>
        <w:rPr>
          <w:b/>
          <w:smallCaps/>
          <w:sz w:val="32"/>
        </w:rPr>
      </w:pPr>
    </w:p>
    <w:p w14:paraId="2D92A35C" w14:textId="77777777" w:rsidR="00125677" w:rsidRPr="00B943ED" w:rsidRDefault="00125677" w:rsidP="00125677">
      <w:pPr>
        <w:rPr>
          <w:b/>
          <w:smallCaps/>
          <w:sz w:val="32"/>
        </w:rPr>
      </w:pPr>
    </w:p>
    <w:p w14:paraId="6D91C5E1" w14:textId="77777777" w:rsidR="00125677" w:rsidRPr="00B943ED" w:rsidRDefault="00125677" w:rsidP="00125677">
      <w:pPr>
        <w:rPr>
          <w:b/>
          <w:smallCaps/>
          <w:sz w:val="32"/>
        </w:rPr>
      </w:pPr>
    </w:p>
    <w:p w14:paraId="0C613131" w14:textId="77777777" w:rsidR="00125677" w:rsidRPr="00B943ED" w:rsidRDefault="00125677" w:rsidP="00125677">
      <w:pPr>
        <w:rPr>
          <w:b/>
          <w:smallCaps/>
          <w:sz w:val="32"/>
        </w:rPr>
      </w:pPr>
    </w:p>
    <w:p w14:paraId="07A8E05F" w14:textId="5399AD4F" w:rsidR="00125677" w:rsidRPr="00B943ED" w:rsidRDefault="00971E65" w:rsidP="00125677">
      <w:pPr>
        <w:rPr>
          <w:b/>
          <w:bCs/>
          <w:smallCaps/>
          <w:color w:val="808080"/>
          <w:sz w:val="32"/>
          <w:szCs w:val="32"/>
        </w:rPr>
      </w:pPr>
      <w:r>
        <w:rPr>
          <w:b/>
          <w:bCs/>
          <w:smallCaps/>
          <w:color w:val="808080"/>
          <w:sz w:val="32"/>
          <w:szCs w:val="32"/>
        </w:rPr>
        <w:t>29</w:t>
      </w:r>
      <w:r w:rsidR="00DC5398">
        <w:rPr>
          <w:b/>
          <w:bCs/>
          <w:smallCaps/>
          <w:color w:val="808080"/>
          <w:sz w:val="32"/>
          <w:szCs w:val="32"/>
        </w:rPr>
        <w:t xml:space="preserve"> </w:t>
      </w:r>
      <w:r w:rsidR="00310134">
        <w:rPr>
          <w:b/>
          <w:bCs/>
          <w:smallCaps/>
          <w:color w:val="808080"/>
          <w:sz w:val="32"/>
          <w:szCs w:val="32"/>
        </w:rPr>
        <w:t>May</w:t>
      </w:r>
      <w:r w:rsidR="00125677" w:rsidRPr="00B943ED">
        <w:rPr>
          <w:b/>
          <w:bCs/>
          <w:smallCaps/>
          <w:color w:val="808080"/>
          <w:sz w:val="32"/>
          <w:szCs w:val="32"/>
        </w:rPr>
        <w:t xml:space="preserve"> 201</w:t>
      </w:r>
      <w:r w:rsidR="001525F2">
        <w:rPr>
          <w:b/>
          <w:bCs/>
          <w:smallCaps/>
          <w:color w:val="808080"/>
          <w:sz w:val="32"/>
          <w:szCs w:val="32"/>
        </w:rPr>
        <w:t>8</w:t>
      </w:r>
      <w:r w:rsidR="00125677" w:rsidRPr="00B943ED">
        <w:rPr>
          <w:b/>
          <w:bCs/>
          <w:smallCaps/>
          <w:color w:val="808080"/>
          <w:sz w:val="32"/>
          <w:szCs w:val="32"/>
        </w:rPr>
        <w:t xml:space="preserve"> </w:t>
      </w:r>
    </w:p>
    <w:p w14:paraId="74B45F7F" w14:textId="77777777" w:rsidR="00125677" w:rsidRPr="00B943ED" w:rsidRDefault="00125677" w:rsidP="00125677">
      <w:pPr>
        <w:rPr>
          <w:b/>
          <w:bCs/>
          <w:smallCaps/>
          <w:color w:val="808080"/>
          <w:sz w:val="32"/>
          <w:szCs w:val="32"/>
        </w:rPr>
      </w:pPr>
    </w:p>
    <w:p w14:paraId="46C073D0" w14:textId="6AE2E426" w:rsidR="00125677" w:rsidRPr="0048196C" w:rsidRDefault="00DC5398" w:rsidP="00125677">
      <w:pPr>
        <w:rPr>
          <w:b/>
          <w:smallCaps/>
          <w:sz w:val="32"/>
        </w:rPr>
      </w:pPr>
      <w:r>
        <w:rPr>
          <w:b/>
          <w:smallCaps/>
          <w:sz w:val="32"/>
        </w:rPr>
        <w:t xml:space="preserve">Final </w:t>
      </w:r>
      <w:r w:rsidR="00131A05" w:rsidRPr="0048196C">
        <w:rPr>
          <w:b/>
          <w:smallCaps/>
          <w:sz w:val="32"/>
        </w:rPr>
        <w:t>Report</w:t>
      </w:r>
    </w:p>
    <w:p w14:paraId="6027C2F5" w14:textId="77777777" w:rsidR="00125677" w:rsidRPr="00B943ED" w:rsidRDefault="00125677" w:rsidP="00125677">
      <w:pPr>
        <w:rPr>
          <w:b/>
          <w:smallCaps/>
          <w:sz w:val="32"/>
        </w:rPr>
      </w:pPr>
    </w:p>
    <w:p w14:paraId="706F2D62" w14:textId="77777777" w:rsidR="00125677" w:rsidRPr="00B943ED" w:rsidRDefault="00125677" w:rsidP="00125677">
      <w:pPr>
        <w:rPr>
          <w:b/>
          <w:smallCaps/>
          <w:sz w:val="32"/>
        </w:rPr>
      </w:pPr>
    </w:p>
    <w:p w14:paraId="742CF685" w14:textId="77777777" w:rsidR="00125677" w:rsidRPr="00B943ED" w:rsidRDefault="00125677" w:rsidP="00125677">
      <w:pPr>
        <w:rPr>
          <w:b/>
          <w:smallCaps/>
          <w:sz w:val="32"/>
        </w:rPr>
      </w:pPr>
    </w:p>
    <w:p w14:paraId="7BFA3823" w14:textId="77777777" w:rsidR="00125677" w:rsidRPr="00B943ED" w:rsidRDefault="00125677" w:rsidP="00125677">
      <w:pPr>
        <w:rPr>
          <w:b/>
          <w:smallCaps/>
          <w:sz w:val="32"/>
        </w:rPr>
      </w:pPr>
    </w:p>
    <w:p w14:paraId="609330FB" w14:textId="77777777" w:rsidR="00A72586" w:rsidRDefault="00A72586" w:rsidP="00125677">
      <w:pPr>
        <w:rPr>
          <w:b/>
          <w:caps/>
          <w:color w:val="FF0000"/>
          <w:sz w:val="36"/>
        </w:rPr>
      </w:pPr>
    </w:p>
    <w:p w14:paraId="2C1451AF" w14:textId="77777777" w:rsidR="00631353" w:rsidRPr="00B943ED" w:rsidRDefault="00631353" w:rsidP="00125677">
      <w:pPr>
        <w:rPr>
          <w:b/>
          <w:caps/>
          <w:color w:val="FF0000"/>
          <w:sz w:val="36"/>
        </w:rPr>
      </w:pPr>
    </w:p>
    <w:p w14:paraId="3E443028" w14:textId="77777777" w:rsidR="00125677" w:rsidRPr="00B943ED" w:rsidRDefault="00125677" w:rsidP="00125677">
      <w:pPr>
        <w:rPr>
          <w:b/>
          <w:caps/>
          <w:color w:val="FF0000"/>
          <w:sz w:val="36"/>
        </w:rPr>
      </w:pPr>
    </w:p>
    <w:p w14:paraId="48115547" w14:textId="77777777" w:rsidR="00125677" w:rsidRPr="00B943ED" w:rsidRDefault="00125677" w:rsidP="00125677">
      <w:pPr>
        <w:rPr>
          <w:b/>
          <w:caps/>
          <w:color w:val="FF0000"/>
          <w:sz w:val="36"/>
        </w:rPr>
      </w:pPr>
    </w:p>
    <w:p w14:paraId="5C0167B2" w14:textId="77777777" w:rsidR="00125677" w:rsidRPr="00B943ED" w:rsidRDefault="00125677" w:rsidP="00125677">
      <w:pPr>
        <w:rPr>
          <w:color w:val="000000"/>
        </w:rPr>
      </w:pPr>
      <w:r w:rsidRPr="00B943ED">
        <w:rPr>
          <w:color w:val="000000"/>
        </w:rPr>
        <w:t>Submitted by:</w:t>
      </w:r>
    </w:p>
    <w:p w14:paraId="3CF40EE0" w14:textId="77777777" w:rsidR="00125677" w:rsidRPr="00B943ED" w:rsidRDefault="00125677" w:rsidP="00125677">
      <w:pPr>
        <w:rPr>
          <w:color w:val="000000"/>
        </w:rPr>
      </w:pPr>
    </w:p>
    <w:p w14:paraId="79EB80D6" w14:textId="77777777" w:rsidR="00125677" w:rsidRDefault="00125677" w:rsidP="00125677">
      <w:pPr>
        <w:pBdr>
          <w:bottom w:val="single" w:sz="12" w:space="1" w:color="808080"/>
        </w:pBdr>
        <w:rPr>
          <w:b/>
          <w:color w:val="000000"/>
          <w:sz w:val="32"/>
        </w:rPr>
      </w:pPr>
      <w:r w:rsidRPr="00B943ED">
        <w:rPr>
          <w:b/>
          <w:color w:val="000000"/>
          <w:sz w:val="32"/>
        </w:rPr>
        <w:t>Cambridge Economic Policy Associates Ltd</w:t>
      </w:r>
    </w:p>
    <w:p w14:paraId="3B283075" w14:textId="77777777" w:rsidR="00372AA4" w:rsidRPr="00B943ED" w:rsidRDefault="00372AA4" w:rsidP="00125677">
      <w:pPr>
        <w:pBdr>
          <w:bottom w:val="single" w:sz="12" w:space="1" w:color="808080"/>
        </w:pBdr>
        <w:rPr>
          <w:b/>
          <w:color w:val="000000"/>
          <w:sz w:val="32"/>
        </w:rPr>
      </w:pPr>
    </w:p>
    <w:p w14:paraId="048F7B40" w14:textId="77777777" w:rsidR="00372AA4" w:rsidRDefault="00372AA4" w:rsidP="00125677">
      <w:pPr>
        <w:rPr>
          <w:b/>
          <w:color w:val="000000"/>
          <w:sz w:val="32"/>
        </w:rPr>
      </w:pPr>
    </w:p>
    <w:p w14:paraId="5ABA8D4C" w14:textId="34B19348" w:rsidR="00125677" w:rsidRPr="00B943ED" w:rsidRDefault="00677560" w:rsidP="00125677">
      <w:pPr>
        <w:rPr>
          <w:b/>
          <w:color w:val="000000"/>
          <w:sz w:val="32"/>
        </w:rPr>
      </w:pPr>
      <w:r w:rsidRPr="00B943ED">
        <w:rPr>
          <w:b/>
          <w:noProof/>
          <w:color w:val="000000"/>
          <w:sz w:val="32"/>
          <w:lang w:val="en-US"/>
        </w:rPr>
        <w:drawing>
          <wp:inline distT="0" distB="0" distL="0" distR="0" wp14:anchorId="1B6BF7E4" wp14:editId="1811AB4A">
            <wp:extent cx="508000" cy="660400"/>
            <wp:effectExtent l="0" t="0" r="6350" b="6350"/>
            <wp:docPr id="2" name="Picture 2">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08000" cy="660400"/>
                    </a:xfrm>
                    <a:prstGeom prst="rect">
                      <a:avLst/>
                    </a:prstGeom>
                  </pic:spPr>
                </pic:pic>
              </a:graphicData>
            </a:graphic>
          </wp:inline>
        </w:drawing>
      </w:r>
    </w:p>
    <w:p w14:paraId="41CB8AAE" w14:textId="2028D16C" w:rsidR="00125677" w:rsidRPr="00B943ED" w:rsidRDefault="00125677" w:rsidP="00125677">
      <w:pPr>
        <w:rPr>
          <w:b/>
          <w:color w:val="000000"/>
          <w:sz w:val="32"/>
        </w:rPr>
        <w:sectPr w:rsidR="00125677" w:rsidRPr="00B943ED" w:rsidSect="00280C9A">
          <w:footerReference w:type="even" r:id="rId14"/>
          <w:pgSz w:w="11906" w:h="16838"/>
          <w:pgMar w:top="1440" w:right="1440" w:bottom="1440" w:left="1440" w:header="708" w:footer="708" w:gutter="0"/>
          <w:cols w:space="708"/>
          <w:docGrid w:linePitch="360"/>
        </w:sectPr>
      </w:pPr>
    </w:p>
    <w:p w14:paraId="2331CD0F" w14:textId="77777777" w:rsidR="00F55B1F" w:rsidRDefault="00125677" w:rsidP="00125677">
      <w:pPr>
        <w:pStyle w:val="CEPAReportText"/>
        <w:spacing w:before="240" w:after="240" w:line="240" w:lineRule="auto"/>
        <w:rPr>
          <w:noProof/>
        </w:rPr>
      </w:pPr>
      <w:r w:rsidRPr="00B943ED">
        <w:rPr>
          <w:b/>
          <w:smallCaps/>
          <w:sz w:val="28"/>
        </w:rPr>
        <w:lastRenderedPageBreak/>
        <w:t>Contents</w:t>
      </w:r>
      <w:r w:rsidRPr="00B943ED">
        <w:rPr>
          <w:b/>
          <w:smallCaps/>
          <w:sz w:val="28"/>
        </w:rPr>
        <w:fldChar w:fldCharType="begin"/>
      </w:r>
      <w:r w:rsidRPr="00B943ED">
        <w:rPr>
          <w:smallCaps/>
          <w:sz w:val="28"/>
        </w:rPr>
        <w:instrText xml:space="preserve"> TOC \o "1-2" \h \z \u \t "Heading 7,1" </w:instrText>
      </w:r>
      <w:r w:rsidRPr="00B943ED">
        <w:rPr>
          <w:b/>
          <w:smallCaps/>
          <w:sz w:val="28"/>
        </w:rPr>
        <w:fldChar w:fldCharType="separate"/>
      </w:r>
    </w:p>
    <w:p w14:paraId="48948540" w14:textId="617E28C9" w:rsidR="00F55B1F" w:rsidRDefault="00BF391F">
      <w:pPr>
        <w:pStyle w:val="TOC1"/>
        <w:tabs>
          <w:tab w:val="right" w:leader="dot" w:pos="9016"/>
        </w:tabs>
        <w:rPr>
          <w:rFonts w:asciiTheme="minorHAnsi" w:eastAsiaTheme="minorEastAsia" w:hAnsiTheme="minorHAnsi" w:cstheme="minorBidi"/>
          <w:b w:val="0"/>
          <w:noProof/>
          <w:sz w:val="22"/>
          <w:szCs w:val="22"/>
          <w:lang w:eastAsia="en-GB"/>
        </w:rPr>
      </w:pPr>
      <w:hyperlink w:anchor="_Toc515359212" w:history="1">
        <w:r w:rsidR="00F55B1F" w:rsidRPr="00891667">
          <w:rPr>
            <w:rStyle w:val="Hyperlink"/>
            <w:noProof/>
          </w:rPr>
          <w:t>Acronyms and abbreviations</w:t>
        </w:r>
        <w:r w:rsidR="00F55B1F">
          <w:rPr>
            <w:noProof/>
            <w:webHidden/>
          </w:rPr>
          <w:tab/>
        </w:r>
        <w:r w:rsidR="00F55B1F">
          <w:rPr>
            <w:noProof/>
            <w:webHidden/>
          </w:rPr>
          <w:fldChar w:fldCharType="begin"/>
        </w:r>
        <w:r w:rsidR="00F55B1F">
          <w:rPr>
            <w:noProof/>
            <w:webHidden/>
          </w:rPr>
          <w:instrText xml:space="preserve"> PAGEREF _Toc515359212 \h </w:instrText>
        </w:r>
        <w:r w:rsidR="00F55B1F">
          <w:rPr>
            <w:noProof/>
            <w:webHidden/>
          </w:rPr>
        </w:r>
        <w:r w:rsidR="00F55B1F">
          <w:rPr>
            <w:noProof/>
            <w:webHidden/>
          </w:rPr>
          <w:fldChar w:fldCharType="separate"/>
        </w:r>
        <w:r w:rsidR="00E21B7F">
          <w:rPr>
            <w:noProof/>
            <w:webHidden/>
          </w:rPr>
          <w:t>i</w:t>
        </w:r>
        <w:r w:rsidR="00F55B1F">
          <w:rPr>
            <w:noProof/>
            <w:webHidden/>
          </w:rPr>
          <w:fldChar w:fldCharType="end"/>
        </w:r>
      </w:hyperlink>
    </w:p>
    <w:p w14:paraId="04C8C910" w14:textId="7DAED5BB" w:rsidR="00F55B1F" w:rsidRDefault="00BF391F">
      <w:pPr>
        <w:pStyle w:val="TOC1"/>
        <w:tabs>
          <w:tab w:val="right" w:leader="dot" w:pos="9016"/>
        </w:tabs>
        <w:rPr>
          <w:rFonts w:asciiTheme="minorHAnsi" w:eastAsiaTheme="minorEastAsia" w:hAnsiTheme="minorHAnsi" w:cstheme="minorBidi"/>
          <w:b w:val="0"/>
          <w:noProof/>
          <w:sz w:val="22"/>
          <w:szCs w:val="22"/>
          <w:lang w:eastAsia="en-GB"/>
        </w:rPr>
      </w:pPr>
      <w:hyperlink w:anchor="_Toc515359213" w:history="1">
        <w:r w:rsidR="00F55B1F" w:rsidRPr="00891667">
          <w:rPr>
            <w:rStyle w:val="Hyperlink"/>
            <w:noProof/>
          </w:rPr>
          <w:t>Executive summary</w:t>
        </w:r>
        <w:r w:rsidR="00F55B1F">
          <w:rPr>
            <w:noProof/>
            <w:webHidden/>
          </w:rPr>
          <w:tab/>
        </w:r>
        <w:r w:rsidR="00F55B1F">
          <w:rPr>
            <w:noProof/>
            <w:webHidden/>
          </w:rPr>
          <w:fldChar w:fldCharType="begin"/>
        </w:r>
        <w:r w:rsidR="00F55B1F">
          <w:rPr>
            <w:noProof/>
            <w:webHidden/>
          </w:rPr>
          <w:instrText xml:space="preserve"> PAGEREF _Toc515359213 \h </w:instrText>
        </w:r>
        <w:r w:rsidR="00F55B1F">
          <w:rPr>
            <w:noProof/>
            <w:webHidden/>
          </w:rPr>
        </w:r>
        <w:r w:rsidR="00F55B1F">
          <w:rPr>
            <w:noProof/>
            <w:webHidden/>
          </w:rPr>
          <w:fldChar w:fldCharType="separate"/>
        </w:r>
        <w:r w:rsidR="00E21B7F">
          <w:rPr>
            <w:noProof/>
            <w:webHidden/>
          </w:rPr>
          <w:t>ii</w:t>
        </w:r>
        <w:r w:rsidR="00F55B1F">
          <w:rPr>
            <w:noProof/>
            <w:webHidden/>
          </w:rPr>
          <w:fldChar w:fldCharType="end"/>
        </w:r>
      </w:hyperlink>
    </w:p>
    <w:p w14:paraId="25D61200" w14:textId="3B86257F" w:rsidR="00F55B1F" w:rsidRDefault="00BF391F">
      <w:pPr>
        <w:pStyle w:val="TOC1"/>
        <w:tabs>
          <w:tab w:val="left" w:pos="480"/>
          <w:tab w:val="right" w:leader="dot" w:pos="9016"/>
        </w:tabs>
        <w:rPr>
          <w:rFonts w:asciiTheme="minorHAnsi" w:eastAsiaTheme="minorEastAsia" w:hAnsiTheme="minorHAnsi" w:cstheme="minorBidi"/>
          <w:b w:val="0"/>
          <w:noProof/>
          <w:sz w:val="22"/>
          <w:szCs w:val="22"/>
          <w:lang w:eastAsia="en-GB"/>
        </w:rPr>
      </w:pPr>
      <w:hyperlink w:anchor="_Toc515359214" w:history="1">
        <w:r w:rsidR="00F55B1F" w:rsidRPr="00891667">
          <w:rPr>
            <w:rStyle w:val="Hyperlink"/>
            <w:noProof/>
          </w:rPr>
          <w:t>1.</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Introduction and evaluation approach</w:t>
        </w:r>
        <w:r w:rsidR="00F55B1F">
          <w:rPr>
            <w:noProof/>
            <w:webHidden/>
          </w:rPr>
          <w:tab/>
        </w:r>
        <w:r w:rsidR="00F55B1F">
          <w:rPr>
            <w:noProof/>
            <w:webHidden/>
          </w:rPr>
          <w:fldChar w:fldCharType="begin"/>
        </w:r>
        <w:r w:rsidR="00F55B1F">
          <w:rPr>
            <w:noProof/>
            <w:webHidden/>
          </w:rPr>
          <w:instrText xml:space="preserve"> PAGEREF _Toc515359214 \h </w:instrText>
        </w:r>
        <w:r w:rsidR="00F55B1F">
          <w:rPr>
            <w:noProof/>
            <w:webHidden/>
          </w:rPr>
        </w:r>
        <w:r w:rsidR="00F55B1F">
          <w:rPr>
            <w:noProof/>
            <w:webHidden/>
          </w:rPr>
          <w:fldChar w:fldCharType="separate"/>
        </w:r>
        <w:r w:rsidR="00E21B7F">
          <w:rPr>
            <w:noProof/>
            <w:webHidden/>
          </w:rPr>
          <w:t>1</w:t>
        </w:r>
        <w:r w:rsidR="00F55B1F">
          <w:rPr>
            <w:noProof/>
            <w:webHidden/>
          </w:rPr>
          <w:fldChar w:fldCharType="end"/>
        </w:r>
      </w:hyperlink>
    </w:p>
    <w:p w14:paraId="207D63C4" w14:textId="0FA64B75" w:rsidR="00F55B1F" w:rsidRDefault="00BF391F">
      <w:pPr>
        <w:pStyle w:val="TOC2"/>
        <w:tabs>
          <w:tab w:val="left" w:pos="960"/>
          <w:tab w:val="right" w:leader="dot" w:pos="9016"/>
        </w:tabs>
        <w:rPr>
          <w:rFonts w:asciiTheme="minorHAnsi" w:eastAsiaTheme="minorEastAsia" w:hAnsiTheme="minorHAnsi" w:cstheme="minorBidi"/>
          <w:noProof/>
          <w:sz w:val="22"/>
          <w:szCs w:val="22"/>
          <w:lang w:eastAsia="en-GB"/>
        </w:rPr>
      </w:pPr>
      <w:hyperlink w:anchor="_Toc515359215" w:history="1">
        <w:r w:rsidR="00F55B1F" w:rsidRPr="00891667">
          <w:rPr>
            <w:rStyle w:val="Hyperlink"/>
            <w:noProof/>
          </w:rPr>
          <w:t>1.1.</w:t>
        </w:r>
        <w:r w:rsidR="00F55B1F">
          <w:rPr>
            <w:rFonts w:asciiTheme="minorHAnsi" w:eastAsiaTheme="minorEastAsia" w:hAnsiTheme="minorHAnsi" w:cstheme="minorBidi"/>
            <w:noProof/>
            <w:sz w:val="22"/>
            <w:szCs w:val="22"/>
            <w:lang w:eastAsia="en-GB"/>
          </w:rPr>
          <w:tab/>
        </w:r>
        <w:r w:rsidR="00F55B1F" w:rsidRPr="00891667">
          <w:rPr>
            <w:rStyle w:val="Hyperlink"/>
            <w:noProof/>
          </w:rPr>
          <w:t>Project background</w:t>
        </w:r>
        <w:r w:rsidR="00F55B1F">
          <w:rPr>
            <w:noProof/>
            <w:webHidden/>
          </w:rPr>
          <w:tab/>
        </w:r>
        <w:r w:rsidR="00F55B1F">
          <w:rPr>
            <w:noProof/>
            <w:webHidden/>
          </w:rPr>
          <w:fldChar w:fldCharType="begin"/>
        </w:r>
        <w:r w:rsidR="00F55B1F">
          <w:rPr>
            <w:noProof/>
            <w:webHidden/>
          </w:rPr>
          <w:instrText xml:space="preserve"> PAGEREF _Toc515359215 \h </w:instrText>
        </w:r>
        <w:r w:rsidR="00F55B1F">
          <w:rPr>
            <w:noProof/>
            <w:webHidden/>
          </w:rPr>
        </w:r>
        <w:r w:rsidR="00F55B1F">
          <w:rPr>
            <w:noProof/>
            <w:webHidden/>
          </w:rPr>
          <w:fldChar w:fldCharType="separate"/>
        </w:r>
        <w:r w:rsidR="00E21B7F">
          <w:rPr>
            <w:noProof/>
            <w:webHidden/>
          </w:rPr>
          <w:t>1</w:t>
        </w:r>
        <w:r w:rsidR="00F55B1F">
          <w:rPr>
            <w:noProof/>
            <w:webHidden/>
          </w:rPr>
          <w:fldChar w:fldCharType="end"/>
        </w:r>
      </w:hyperlink>
    </w:p>
    <w:p w14:paraId="056920E9" w14:textId="7444B359" w:rsidR="00F55B1F" w:rsidRDefault="00BF391F">
      <w:pPr>
        <w:pStyle w:val="TOC2"/>
        <w:tabs>
          <w:tab w:val="left" w:pos="960"/>
          <w:tab w:val="right" w:leader="dot" w:pos="9016"/>
        </w:tabs>
        <w:rPr>
          <w:rFonts w:asciiTheme="minorHAnsi" w:eastAsiaTheme="minorEastAsia" w:hAnsiTheme="minorHAnsi" w:cstheme="minorBidi"/>
          <w:noProof/>
          <w:sz w:val="22"/>
          <w:szCs w:val="22"/>
          <w:lang w:eastAsia="en-GB"/>
        </w:rPr>
      </w:pPr>
      <w:hyperlink w:anchor="_Toc515359216" w:history="1">
        <w:r w:rsidR="00F55B1F" w:rsidRPr="00891667">
          <w:rPr>
            <w:rStyle w:val="Hyperlink"/>
            <w:noProof/>
          </w:rPr>
          <w:t>1.2.</w:t>
        </w:r>
        <w:r w:rsidR="00F55B1F">
          <w:rPr>
            <w:rFonts w:asciiTheme="minorHAnsi" w:eastAsiaTheme="minorEastAsia" w:hAnsiTheme="minorHAnsi" w:cstheme="minorBidi"/>
            <w:noProof/>
            <w:sz w:val="22"/>
            <w:szCs w:val="22"/>
            <w:lang w:eastAsia="en-GB"/>
          </w:rPr>
          <w:tab/>
        </w:r>
        <w:r w:rsidR="00F55B1F" w:rsidRPr="00891667">
          <w:rPr>
            <w:rStyle w:val="Hyperlink"/>
            <w:noProof/>
          </w:rPr>
          <w:t>Evaluation objectives and methodology</w:t>
        </w:r>
        <w:r w:rsidR="00F55B1F">
          <w:rPr>
            <w:noProof/>
            <w:webHidden/>
          </w:rPr>
          <w:tab/>
        </w:r>
        <w:r w:rsidR="00F55B1F">
          <w:rPr>
            <w:noProof/>
            <w:webHidden/>
          </w:rPr>
          <w:fldChar w:fldCharType="begin"/>
        </w:r>
        <w:r w:rsidR="00F55B1F">
          <w:rPr>
            <w:noProof/>
            <w:webHidden/>
          </w:rPr>
          <w:instrText xml:space="preserve"> PAGEREF _Toc515359216 \h </w:instrText>
        </w:r>
        <w:r w:rsidR="00F55B1F">
          <w:rPr>
            <w:noProof/>
            <w:webHidden/>
          </w:rPr>
        </w:r>
        <w:r w:rsidR="00F55B1F">
          <w:rPr>
            <w:noProof/>
            <w:webHidden/>
          </w:rPr>
          <w:fldChar w:fldCharType="separate"/>
        </w:r>
        <w:r w:rsidR="00E21B7F">
          <w:rPr>
            <w:noProof/>
            <w:webHidden/>
          </w:rPr>
          <w:t>2</w:t>
        </w:r>
        <w:r w:rsidR="00F55B1F">
          <w:rPr>
            <w:noProof/>
            <w:webHidden/>
          </w:rPr>
          <w:fldChar w:fldCharType="end"/>
        </w:r>
      </w:hyperlink>
    </w:p>
    <w:p w14:paraId="2D2041CB" w14:textId="67D3CD73" w:rsidR="00F55B1F" w:rsidRDefault="00BF391F">
      <w:pPr>
        <w:pStyle w:val="TOC2"/>
        <w:tabs>
          <w:tab w:val="left" w:pos="960"/>
          <w:tab w:val="right" w:leader="dot" w:pos="9016"/>
        </w:tabs>
        <w:rPr>
          <w:rFonts w:asciiTheme="minorHAnsi" w:eastAsiaTheme="minorEastAsia" w:hAnsiTheme="minorHAnsi" w:cstheme="minorBidi"/>
          <w:noProof/>
          <w:sz w:val="22"/>
          <w:szCs w:val="22"/>
          <w:lang w:eastAsia="en-GB"/>
        </w:rPr>
      </w:pPr>
      <w:hyperlink w:anchor="_Toc515359217" w:history="1">
        <w:r w:rsidR="00F55B1F" w:rsidRPr="00891667">
          <w:rPr>
            <w:rStyle w:val="Hyperlink"/>
            <w:noProof/>
          </w:rPr>
          <w:t>1.3.</w:t>
        </w:r>
        <w:r w:rsidR="00F55B1F">
          <w:rPr>
            <w:rFonts w:asciiTheme="minorHAnsi" w:eastAsiaTheme="minorEastAsia" w:hAnsiTheme="minorHAnsi" w:cstheme="minorBidi"/>
            <w:noProof/>
            <w:sz w:val="22"/>
            <w:szCs w:val="22"/>
            <w:lang w:eastAsia="en-GB"/>
          </w:rPr>
          <w:tab/>
        </w:r>
        <w:r w:rsidR="00F55B1F" w:rsidRPr="00891667">
          <w:rPr>
            <w:rStyle w:val="Hyperlink"/>
            <w:noProof/>
          </w:rPr>
          <w:t>Structure of the report</w:t>
        </w:r>
        <w:r w:rsidR="00F55B1F">
          <w:rPr>
            <w:noProof/>
            <w:webHidden/>
          </w:rPr>
          <w:tab/>
        </w:r>
        <w:r w:rsidR="00F55B1F">
          <w:rPr>
            <w:noProof/>
            <w:webHidden/>
          </w:rPr>
          <w:fldChar w:fldCharType="begin"/>
        </w:r>
        <w:r w:rsidR="00F55B1F">
          <w:rPr>
            <w:noProof/>
            <w:webHidden/>
          </w:rPr>
          <w:instrText xml:space="preserve"> PAGEREF _Toc515359217 \h </w:instrText>
        </w:r>
        <w:r w:rsidR="00F55B1F">
          <w:rPr>
            <w:noProof/>
            <w:webHidden/>
          </w:rPr>
        </w:r>
        <w:r w:rsidR="00F55B1F">
          <w:rPr>
            <w:noProof/>
            <w:webHidden/>
          </w:rPr>
          <w:fldChar w:fldCharType="separate"/>
        </w:r>
        <w:r w:rsidR="00E21B7F">
          <w:rPr>
            <w:noProof/>
            <w:webHidden/>
          </w:rPr>
          <w:t>5</w:t>
        </w:r>
        <w:r w:rsidR="00F55B1F">
          <w:rPr>
            <w:noProof/>
            <w:webHidden/>
          </w:rPr>
          <w:fldChar w:fldCharType="end"/>
        </w:r>
      </w:hyperlink>
    </w:p>
    <w:p w14:paraId="4988D699" w14:textId="47A07DD9" w:rsidR="00F55B1F" w:rsidRDefault="00BF391F">
      <w:pPr>
        <w:pStyle w:val="TOC1"/>
        <w:tabs>
          <w:tab w:val="left" w:pos="480"/>
          <w:tab w:val="right" w:leader="dot" w:pos="9016"/>
        </w:tabs>
        <w:rPr>
          <w:rFonts w:asciiTheme="minorHAnsi" w:eastAsiaTheme="minorEastAsia" w:hAnsiTheme="minorHAnsi" w:cstheme="minorBidi"/>
          <w:b w:val="0"/>
          <w:noProof/>
          <w:sz w:val="22"/>
          <w:szCs w:val="22"/>
          <w:lang w:eastAsia="en-GB"/>
        </w:rPr>
      </w:pPr>
      <w:hyperlink w:anchor="_Toc515359218" w:history="1">
        <w:r w:rsidR="00F55B1F" w:rsidRPr="00891667">
          <w:rPr>
            <w:rStyle w:val="Hyperlink"/>
            <w:noProof/>
          </w:rPr>
          <w:t>2.</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Project relevance</w:t>
        </w:r>
        <w:r w:rsidR="00F55B1F">
          <w:rPr>
            <w:noProof/>
            <w:webHidden/>
          </w:rPr>
          <w:tab/>
        </w:r>
        <w:r w:rsidR="00F55B1F">
          <w:rPr>
            <w:noProof/>
            <w:webHidden/>
          </w:rPr>
          <w:fldChar w:fldCharType="begin"/>
        </w:r>
        <w:r w:rsidR="00F55B1F">
          <w:rPr>
            <w:noProof/>
            <w:webHidden/>
          </w:rPr>
          <w:instrText xml:space="preserve"> PAGEREF _Toc515359218 \h </w:instrText>
        </w:r>
        <w:r w:rsidR="00F55B1F">
          <w:rPr>
            <w:noProof/>
            <w:webHidden/>
          </w:rPr>
        </w:r>
        <w:r w:rsidR="00F55B1F">
          <w:rPr>
            <w:noProof/>
            <w:webHidden/>
          </w:rPr>
          <w:fldChar w:fldCharType="separate"/>
        </w:r>
        <w:r w:rsidR="00E21B7F">
          <w:rPr>
            <w:noProof/>
            <w:webHidden/>
          </w:rPr>
          <w:t>6</w:t>
        </w:r>
        <w:r w:rsidR="00F55B1F">
          <w:rPr>
            <w:noProof/>
            <w:webHidden/>
          </w:rPr>
          <w:fldChar w:fldCharType="end"/>
        </w:r>
      </w:hyperlink>
    </w:p>
    <w:p w14:paraId="219D7ADC" w14:textId="33903B45" w:rsidR="00F55B1F" w:rsidRDefault="00BF391F">
      <w:pPr>
        <w:pStyle w:val="TOC2"/>
        <w:tabs>
          <w:tab w:val="left" w:pos="960"/>
          <w:tab w:val="right" w:leader="dot" w:pos="9016"/>
        </w:tabs>
        <w:rPr>
          <w:rFonts w:asciiTheme="minorHAnsi" w:eastAsiaTheme="minorEastAsia" w:hAnsiTheme="minorHAnsi" w:cstheme="minorBidi"/>
          <w:noProof/>
          <w:sz w:val="22"/>
          <w:szCs w:val="22"/>
          <w:lang w:eastAsia="en-GB"/>
        </w:rPr>
      </w:pPr>
      <w:hyperlink w:anchor="_Toc515359219" w:history="1">
        <w:r w:rsidR="00F55B1F" w:rsidRPr="00891667">
          <w:rPr>
            <w:rStyle w:val="Hyperlink"/>
            <w:noProof/>
          </w:rPr>
          <w:t>2.1.</w:t>
        </w:r>
        <w:r w:rsidR="00F55B1F">
          <w:rPr>
            <w:rFonts w:asciiTheme="minorHAnsi" w:eastAsiaTheme="minorEastAsia" w:hAnsiTheme="minorHAnsi" w:cstheme="minorBidi"/>
            <w:noProof/>
            <w:sz w:val="22"/>
            <w:szCs w:val="22"/>
            <w:lang w:eastAsia="en-GB"/>
          </w:rPr>
          <w:tab/>
        </w:r>
        <w:r w:rsidR="00F55B1F" w:rsidRPr="00891667">
          <w:rPr>
            <w:rStyle w:val="Hyperlink"/>
            <w:noProof/>
          </w:rPr>
          <w:t>Alignment with Unitaid strategy and diagnostics portfolio</w:t>
        </w:r>
        <w:r w:rsidR="00F55B1F">
          <w:rPr>
            <w:noProof/>
            <w:webHidden/>
          </w:rPr>
          <w:tab/>
        </w:r>
        <w:r w:rsidR="00F55B1F">
          <w:rPr>
            <w:noProof/>
            <w:webHidden/>
          </w:rPr>
          <w:fldChar w:fldCharType="begin"/>
        </w:r>
        <w:r w:rsidR="00F55B1F">
          <w:rPr>
            <w:noProof/>
            <w:webHidden/>
          </w:rPr>
          <w:instrText xml:space="preserve"> PAGEREF _Toc515359219 \h </w:instrText>
        </w:r>
        <w:r w:rsidR="00F55B1F">
          <w:rPr>
            <w:noProof/>
            <w:webHidden/>
          </w:rPr>
        </w:r>
        <w:r w:rsidR="00F55B1F">
          <w:rPr>
            <w:noProof/>
            <w:webHidden/>
          </w:rPr>
          <w:fldChar w:fldCharType="separate"/>
        </w:r>
        <w:r w:rsidR="00E21B7F">
          <w:rPr>
            <w:noProof/>
            <w:webHidden/>
          </w:rPr>
          <w:t>6</w:t>
        </w:r>
        <w:r w:rsidR="00F55B1F">
          <w:rPr>
            <w:noProof/>
            <w:webHidden/>
          </w:rPr>
          <w:fldChar w:fldCharType="end"/>
        </w:r>
      </w:hyperlink>
    </w:p>
    <w:p w14:paraId="317F0424" w14:textId="5D4D7E33" w:rsidR="00F55B1F" w:rsidRDefault="00BF391F">
      <w:pPr>
        <w:pStyle w:val="TOC2"/>
        <w:tabs>
          <w:tab w:val="left" w:pos="960"/>
          <w:tab w:val="right" w:leader="dot" w:pos="9016"/>
        </w:tabs>
        <w:rPr>
          <w:rFonts w:asciiTheme="minorHAnsi" w:eastAsiaTheme="minorEastAsia" w:hAnsiTheme="minorHAnsi" w:cstheme="minorBidi"/>
          <w:noProof/>
          <w:sz w:val="22"/>
          <w:szCs w:val="22"/>
          <w:lang w:eastAsia="en-GB"/>
        </w:rPr>
      </w:pPr>
      <w:hyperlink w:anchor="_Toc515359220" w:history="1">
        <w:r w:rsidR="00F55B1F" w:rsidRPr="00891667">
          <w:rPr>
            <w:rStyle w:val="Hyperlink"/>
            <w:noProof/>
          </w:rPr>
          <w:t>2.2.</w:t>
        </w:r>
        <w:r w:rsidR="00F55B1F">
          <w:rPr>
            <w:rFonts w:asciiTheme="minorHAnsi" w:eastAsiaTheme="minorEastAsia" w:hAnsiTheme="minorHAnsi" w:cstheme="minorBidi"/>
            <w:noProof/>
            <w:sz w:val="22"/>
            <w:szCs w:val="22"/>
            <w:lang w:eastAsia="en-GB"/>
          </w:rPr>
          <w:tab/>
        </w:r>
        <w:r w:rsidR="00F55B1F" w:rsidRPr="00891667">
          <w:rPr>
            <w:rStyle w:val="Hyperlink"/>
            <w:noProof/>
          </w:rPr>
          <w:t>Relevance in context of HIV needs and guidance</w:t>
        </w:r>
        <w:r w:rsidR="00F55B1F">
          <w:rPr>
            <w:noProof/>
            <w:webHidden/>
          </w:rPr>
          <w:tab/>
        </w:r>
        <w:r w:rsidR="00F55B1F">
          <w:rPr>
            <w:noProof/>
            <w:webHidden/>
          </w:rPr>
          <w:fldChar w:fldCharType="begin"/>
        </w:r>
        <w:r w:rsidR="00F55B1F">
          <w:rPr>
            <w:noProof/>
            <w:webHidden/>
          </w:rPr>
          <w:instrText xml:space="preserve"> PAGEREF _Toc515359220 \h </w:instrText>
        </w:r>
        <w:r w:rsidR="00F55B1F">
          <w:rPr>
            <w:noProof/>
            <w:webHidden/>
          </w:rPr>
        </w:r>
        <w:r w:rsidR="00F55B1F">
          <w:rPr>
            <w:noProof/>
            <w:webHidden/>
          </w:rPr>
          <w:fldChar w:fldCharType="separate"/>
        </w:r>
        <w:r w:rsidR="00E21B7F">
          <w:rPr>
            <w:noProof/>
            <w:webHidden/>
          </w:rPr>
          <w:t>8</w:t>
        </w:r>
        <w:r w:rsidR="00F55B1F">
          <w:rPr>
            <w:noProof/>
            <w:webHidden/>
          </w:rPr>
          <w:fldChar w:fldCharType="end"/>
        </w:r>
      </w:hyperlink>
    </w:p>
    <w:p w14:paraId="70CEB816" w14:textId="75B160BB" w:rsidR="00F55B1F" w:rsidRDefault="00BF391F">
      <w:pPr>
        <w:pStyle w:val="TOC1"/>
        <w:tabs>
          <w:tab w:val="left" w:pos="480"/>
          <w:tab w:val="right" w:leader="dot" w:pos="9016"/>
        </w:tabs>
        <w:rPr>
          <w:rFonts w:asciiTheme="minorHAnsi" w:eastAsiaTheme="minorEastAsia" w:hAnsiTheme="minorHAnsi" w:cstheme="minorBidi"/>
          <w:b w:val="0"/>
          <w:noProof/>
          <w:sz w:val="22"/>
          <w:szCs w:val="22"/>
          <w:lang w:eastAsia="en-GB"/>
        </w:rPr>
      </w:pPr>
      <w:hyperlink w:anchor="_Toc515359221" w:history="1">
        <w:r w:rsidR="00F55B1F" w:rsidRPr="00891667">
          <w:rPr>
            <w:rStyle w:val="Hyperlink"/>
            <w:noProof/>
          </w:rPr>
          <w:t>3.</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Efficiency and effectiveness</w:t>
        </w:r>
        <w:r w:rsidR="00F55B1F">
          <w:rPr>
            <w:noProof/>
            <w:webHidden/>
          </w:rPr>
          <w:tab/>
        </w:r>
        <w:r w:rsidR="00F55B1F">
          <w:rPr>
            <w:noProof/>
            <w:webHidden/>
          </w:rPr>
          <w:fldChar w:fldCharType="begin"/>
        </w:r>
        <w:r w:rsidR="00F55B1F">
          <w:rPr>
            <w:noProof/>
            <w:webHidden/>
          </w:rPr>
          <w:instrText xml:space="preserve"> PAGEREF _Toc515359221 \h </w:instrText>
        </w:r>
        <w:r w:rsidR="00F55B1F">
          <w:rPr>
            <w:noProof/>
            <w:webHidden/>
          </w:rPr>
        </w:r>
        <w:r w:rsidR="00F55B1F">
          <w:rPr>
            <w:noProof/>
            <w:webHidden/>
          </w:rPr>
          <w:fldChar w:fldCharType="separate"/>
        </w:r>
        <w:r w:rsidR="00E21B7F">
          <w:rPr>
            <w:noProof/>
            <w:webHidden/>
          </w:rPr>
          <w:t>10</w:t>
        </w:r>
        <w:r w:rsidR="00F55B1F">
          <w:rPr>
            <w:noProof/>
            <w:webHidden/>
          </w:rPr>
          <w:fldChar w:fldCharType="end"/>
        </w:r>
      </w:hyperlink>
    </w:p>
    <w:p w14:paraId="45790A1F" w14:textId="0C692559" w:rsidR="00F55B1F" w:rsidRDefault="00BF391F">
      <w:pPr>
        <w:pStyle w:val="TOC2"/>
        <w:tabs>
          <w:tab w:val="left" w:pos="960"/>
          <w:tab w:val="right" w:leader="dot" w:pos="9016"/>
        </w:tabs>
        <w:rPr>
          <w:rFonts w:asciiTheme="minorHAnsi" w:eastAsiaTheme="minorEastAsia" w:hAnsiTheme="minorHAnsi" w:cstheme="minorBidi"/>
          <w:noProof/>
          <w:sz w:val="22"/>
          <w:szCs w:val="22"/>
          <w:lang w:eastAsia="en-GB"/>
        </w:rPr>
      </w:pPr>
      <w:hyperlink w:anchor="_Toc515359222" w:history="1">
        <w:r w:rsidR="00F55B1F" w:rsidRPr="00891667">
          <w:rPr>
            <w:rStyle w:val="Hyperlink"/>
            <w:noProof/>
          </w:rPr>
          <w:t>3.1.</w:t>
        </w:r>
        <w:r w:rsidR="00F55B1F">
          <w:rPr>
            <w:rFonts w:asciiTheme="minorHAnsi" w:eastAsiaTheme="minorEastAsia" w:hAnsiTheme="minorHAnsi" w:cstheme="minorBidi"/>
            <w:noProof/>
            <w:sz w:val="22"/>
            <w:szCs w:val="22"/>
            <w:lang w:eastAsia="en-GB"/>
          </w:rPr>
          <w:tab/>
        </w:r>
        <w:r w:rsidR="00F55B1F" w:rsidRPr="00891667">
          <w:rPr>
            <w:rStyle w:val="Hyperlink"/>
            <w:noProof/>
          </w:rPr>
          <w:t>Budget, timelines and project management</w:t>
        </w:r>
        <w:r w:rsidR="00F55B1F">
          <w:rPr>
            <w:noProof/>
            <w:webHidden/>
          </w:rPr>
          <w:tab/>
        </w:r>
        <w:r w:rsidR="00F55B1F">
          <w:rPr>
            <w:noProof/>
            <w:webHidden/>
          </w:rPr>
          <w:fldChar w:fldCharType="begin"/>
        </w:r>
        <w:r w:rsidR="00F55B1F">
          <w:rPr>
            <w:noProof/>
            <w:webHidden/>
          </w:rPr>
          <w:instrText xml:space="preserve"> PAGEREF _Toc515359222 \h </w:instrText>
        </w:r>
        <w:r w:rsidR="00F55B1F">
          <w:rPr>
            <w:noProof/>
            <w:webHidden/>
          </w:rPr>
        </w:r>
        <w:r w:rsidR="00F55B1F">
          <w:rPr>
            <w:noProof/>
            <w:webHidden/>
          </w:rPr>
          <w:fldChar w:fldCharType="separate"/>
        </w:r>
        <w:r w:rsidR="00E21B7F">
          <w:rPr>
            <w:noProof/>
            <w:webHidden/>
          </w:rPr>
          <w:t>10</w:t>
        </w:r>
        <w:r w:rsidR="00F55B1F">
          <w:rPr>
            <w:noProof/>
            <w:webHidden/>
          </w:rPr>
          <w:fldChar w:fldCharType="end"/>
        </w:r>
      </w:hyperlink>
    </w:p>
    <w:p w14:paraId="4F8610EA" w14:textId="4C6B76A3" w:rsidR="00F55B1F" w:rsidRDefault="00BF391F">
      <w:pPr>
        <w:pStyle w:val="TOC2"/>
        <w:tabs>
          <w:tab w:val="left" w:pos="960"/>
          <w:tab w:val="right" w:leader="dot" w:pos="9016"/>
        </w:tabs>
        <w:rPr>
          <w:rFonts w:asciiTheme="minorHAnsi" w:eastAsiaTheme="minorEastAsia" w:hAnsiTheme="minorHAnsi" w:cstheme="minorBidi"/>
          <w:noProof/>
          <w:sz w:val="22"/>
          <w:szCs w:val="22"/>
          <w:lang w:eastAsia="en-GB"/>
        </w:rPr>
      </w:pPr>
      <w:hyperlink w:anchor="_Toc515359223" w:history="1">
        <w:r w:rsidR="00F55B1F" w:rsidRPr="00891667">
          <w:rPr>
            <w:rStyle w:val="Hyperlink"/>
            <w:noProof/>
          </w:rPr>
          <w:t>3.2.</w:t>
        </w:r>
        <w:r w:rsidR="00F55B1F">
          <w:rPr>
            <w:rFonts w:asciiTheme="minorHAnsi" w:eastAsiaTheme="minorEastAsia" w:hAnsiTheme="minorHAnsi" w:cstheme="minorBidi"/>
            <w:noProof/>
            <w:sz w:val="22"/>
            <w:szCs w:val="22"/>
            <w:lang w:eastAsia="en-GB"/>
          </w:rPr>
          <w:tab/>
        </w:r>
        <w:r w:rsidR="00F55B1F" w:rsidRPr="00891667">
          <w:rPr>
            <w:rStyle w:val="Hyperlink"/>
            <w:noProof/>
          </w:rPr>
          <w:t>Delivery of planned activities and related targets</w:t>
        </w:r>
        <w:r w:rsidR="00F55B1F">
          <w:rPr>
            <w:noProof/>
            <w:webHidden/>
          </w:rPr>
          <w:tab/>
        </w:r>
        <w:r w:rsidR="00F55B1F">
          <w:rPr>
            <w:noProof/>
            <w:webHidden/>
          </w:rPr>
          <w:fldChar w:fldCharType="begin"/>
        </w:r>
        <w:r w:rsidR="00F55B1F">
          <w:rPr>
            <w:noProof/>
            <w:webHidden/>
          </w:rPr>
          <w:instrText xml:space="preserve"> PAGEREF _Toc515359223 \h </w:instrText>
        </w:r>
        <w:r w:rsidR="00F55B1F">
          <w:rPr>
            <w:noProof/>
            <w:webHidden/>
          </w:rPr>
        </w:r>
        <w:r w:rsidR="00F55B1F">
          <w:rPr>
            <w:noProof/>
            <w:webHidden/>
          </w:rPr>
          <w:fldChar w:fldCharType="separate"/>
        </w:r>
        <w:r w:rsidR="00E21B7F">
          <w:rPr>
            <w:noProof/>
            <w:webHidden/>
          </w:rPr>
          <w:t>16</w:t>
        </w:r>
        <w:r w:rsidR="00F55B1F">
          <w:rPr>
            <w:noProof/>
            <w:webHidden/>
          </w:rPr>
          <w:fldChar w:fldCharType="end"/>
        </w:r>
      </w:hyperlink>
    </w:p>
    <w:p w14:paraId="6543D00D" w14:textId="5FB8863B" w:rsidR="00F55B1F" w:rsidRDefault="00BF391F">
      <w:pPr>
        <w:pStyle w:val="TOC2"/>
        <w:tabs>
          <w:tab w:val="left" w:pos="960"/>
          <w:tab w:val="right" w:leader="dot" w:pos="9016"/>
        </w:tabs>
        <w:rPr>
          <w:rFonts w:asciiTheme="minorHAnsi" w:eastAsiaTheme="minorEastAsia" w:hAnsiTheme="minorHAnsi" w:cstheme="minorBidi"/>
          <w:noProof/>
          <w:sz w:val="22"/>
          <w:szCs w:val="22"/>
          <w:lang w:eastAsia="en-GB"/>
        </w:rPr>
      </w:pPr>
      <w:hyperlink w:anchor="_Toc515359224" w:history="1">
        <w:r w:rsidR="00F55B1F" w:rsidRPr="00891667">
          <w:rPr>
            <w:rStyle w:val="Hyperlink"/>
            <w:noProof/>
          </w:rPr>
          <w:t>3.3.</w:t>
        </w:r>
        <w:r w:rsidR="00F55B1F">
          <w:rPr>
            <w:rFonts w:asciiTheme="minorHAnsi" w:eastAsiaTheme="minorEastAsia" w:hAnsiTheme="minorHAnsi" w:cstheme="minorBidi"/>
            <w:noProof/>
            <w:sz w:val="22"/>
            <w:szCs w:val="22"/>
            <w:lang w:eastAsia="en-GB"/>
          </w:rPr>
          <w:tab/>
        </w:r>
        <w:r w:rsidR="00F55B1F" w:rsidRPr="00891667">
          <w:rPr>
            <w:rStyle w:val="Hyperlink"/>
            <w:noProof/>
          </w:rPr>
          <w:t>Country case studies and summary experience</w:t>
        </w:r>
        <w:r w:rsidR="00F55B1F">
          <w:rPr>
            <w:noProof/>
            <w:webHidden/>
          </w:rPr>
          <w:tab/>
        </w:r>
        <w:r w:rsidR="00F55B1F">
          <w:rPr>
            <w:noProof/>
            <w:webHidden/>
          </w:rPr>
          <w:fldChar w:fldCharType="begin"/>
        </w:r>
        <w:r w:rsidR="00F55B1F">
          <w:rPr>
            <w:noProof/>
            <w:webHidden/>
          </w:rPr>
          <w:instrText xml:space="preserve"> PAGEREF _Toc515359224 \h </w:instrText>
        </w:r>
        <w:r w:rsidR="00F55B1F">
          <w:rPr>
            <w:noProof/>
            <w:webHidden/>
          </w:rPr>
        </w:r>
        <w:r w:rsidR="00F55B1F">
          <w:rPr>
            <w:noProof/>
            <w:webHidden/>
          </w:rPr>
          <w:fldChar w:fldCharType="separate"/>
        </w:r>
        <w:r w:rsidR="00E21B7F">
          <w:rPr>
            <w:noProof/>
            <w:webHidden/>
          </w:rPr>
          <w:t>20</w:t>
        </w:r>
        <w:r w:rsidR="00F55B1F">
          <w:rPr>
            <w:noProof/>
            <w:webHidden/>
          </w:rPr>
          <w:fldChar w:fldCharType="end"/>
        </w:r>
      </w:hyperlink>
    </w:p>
    <w:p w14:paraId="759163E7" w14:textId="0B048474" w:rsidR="00F55B1F" w:rsidRDefault="00BF391F">
      <w:pPr>
        <w:pStyle w:val="TOC1"/>
        <w:tabs>
          <w:tab w:val="left" w:pos="480"/>
          <w:tab w:val="right" w:leader="dot" w:pos="9016"/>
        </w:tabs>
        <w:rPr>
          <w:rFonts w:asciiTheme="minorHAnsi" w:eastAsiaTheme="minorEastAsia" w:hAnsiTheme="minorHAnsi" w:cstheme="minorBidi"/>
          <w:b w:val="0"/>
          <w:noProof/>
          <w:sz w:val="22"/>
          <w:szCs w:val="22"/>
          <w:lang w:eastAsia="en-GB"/>
        </w:rPr>
      </w:pPr>
      <w:hyperlink w:anchor="_Toc515359225" w:history="1">
        <w:r w:rsidR="00F55B1F" w:rsidRPr="00891667">
          <w:rPr>
            <w:rStyle w:val="Hyperlink"/>
            <w:noProof/>
          </w:rPr>
          <w:t>4.</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Impact and sustainability</w:t>
        </w:r>
        <w:r w:rsidR="00F55B1F">
          <w:rPr>
            <w:noProof/>
            <w:webHidden/>
          </w:rPr>
          <w:tab/>
        </w:r>
        <w:r w:rsidR="00F55B1F">
          <w:rPr>
            <w:noProof/>
            <w:webHidden/>
          </w:rPr>
          <w:fldChar w:fldCharType="begin"/>
        </w:r>
        <w:r w:rsidR="00F55B1F">
          <w:rPr>
            <w:noProof/>
            <w:webHidden/>
          </w:rPr>
          <w:instrText xml:space="preserve"> PAGEREF _Toc515359225 \h </w:instrText>
        </w:r>
        <w:r w:rsidR="00F55B1F">
          <w:rPr>
            <w:noProof/>
            <w:webHidden/>
          </w:rPr>
        </w:r>
        <w:r w:rsidR="00F55B1F">
          <w:rPr>
            <w:noProof/>
            <w:webHidden/>
          </w:rPr>
          <w:fldChar w:fldCharType="separate"/>
        </w:r>
        <w:r w:rsidR="00E21B7F">
          <w:rPr>
            <w:noProof/>
            <w:webHidden/>
          </w:rPr>
          <w:t>35</w:t>
        </w:r>
        <w:r w:rsidR="00F55B1F">
          <w:rPr>
            <w:noProof/>
            <w:webHidden/>
          </w:rPr>
          <w:fldChar w:fldCharType="end"/>
        </w:r>
      </w:hyperlink>
    </w:p>
    <w:p w14:paraId="65B2854F" w14:textId="64945F8B" w:rsidR="00F55B1F" w:rsidRDefault="00BF391F">
      <w:pPr>
        <w:pStyle w:val="TOC2"/>
        <w:tabs>
          <w:tab w:val="left" w:pos="960"/>
          <w:tab w:val="right" w:leader="dot" w:pos="9016"/>
        </w:tabs>
        <w:rPr>
          <w:rFonts w:asciiTheme="minorHAnsi" w:eastAsiaTheme="minorEastAsia" w:hAnsiTheme="minorHAnsi" w:cstheme="minorBidi"/>
          <w:noProof/>
          <w:sz w:val="22"/>
          <w:szCs w:val="22"/>
          <w:lang w:eastAsia="en-GB"/>
        </w:rPr>
      </w:pPr>
      <w:hyperlink w:anchor="_Toc515359226" w:history="1">
        <w:r w:rsidR="00F55B1F" w:rsidRPr="00891667">
          <w:rPr>
            <w:rStyle w:val="Hyperlink"/>
            <w:noProof/>
          </w:rPr>
          <w:t>4.1.</w:t>
        </w:r>
        <w:r w:rsidR="00F55B1F">
          <w:rPr>
            <w:rFonts w:asciiTheme="minorHAnsi" w:eastAsiaTheme="minorEastAsia" w:hAnsiTheme="minorHAnsi" w:cstheme="minorBidi"/>
            <w:noProof/>
            <w:sz w:val="22"/>
            <w:szCs w:val="22"/>
            <w:lang w:eastAsia="en-GB"/>
          </w:rPr>
          <w:tab/>
        </w:r>
        <w:r w:rsidR="00F55B1F" w:rsidRPr="00891667">
          <w:rPr>
            <w:rStyle w:val="Hyperlink"/>
            <w:noProof/>
          </w:rPr>
          <w:t>Addressing access and policy barriers</w:t>
        </w:r>
        <w:r w:rsidR="00F55B1F">
          <w:rPr>
            <w:noProof/>
            <w:webHidden/>
          </w:rPr>
          <w:tab/>
        </w:r>
        <w:r w:rsidR="00F55B1F">
          <w:rPr>
            <w:noProof/>
            <w:webHidden/>
          </w:rPr>
          <w:fldChar w:fldCharType="begin"/>
        </w:r>
        <w:r w:rsidR="00F55B1F">
          <w:rPr>
            <w:noProof/>
            <w:webHidden/>
          </w:rPr>
          <w:instrText xml:space="preserve"> PAGEREF _Toc515359226 \h </w:instrText>
        </w:r>
        <w:r w:rsidR="00F55B1F">
          <w:rPr>
            <w:noProof/>
            <w:webHidden/>
          </w:rPr>
        </w:r>
        <w:r w:rsidR="00F55B1F">
          <w:rPr>
            <w:noProof/>
            <w:webHidden/>
          </w:rPr>
          <w:fldChar w:fldCharType="separate"/>
        </w:r>
        <w:r w:rsidR="00E21B7F">
          <w:rPr>
            <w:noProof/>
            <w:webHidden/>
          </w:rPr>
          <w:t>35</w:t>
        </w:r>
        <w:r w:rsidR="00F55B1F">
          <w:rPr>
            <w:noProof/>
            <w:webHidden/>
          </w:rPr>
          <w:fldChar w:fldCharType="end"/>
        </w:r>
      </w:hyperlink>
    </w:p>
    <w:p w14:paraId="0CB1133A" w14:textId="5B1BD2C8" w:rsidR="00F55B1F" w:rsidRDefault="00BF391F">
      <w:pPr>
        <w:pStyle w:val="TOC2"/>
        <w:tabs>
          <w:tab w:val="left" w:pos="960"/>
          <w:tab w:val="right" w:leader="dot" w:pos="9016"/>
        </w:tabs>
        <w:rPr>
          <w:rFonts w:asciiTheme="minorHAnsi" w:eastAsiaTheme="minorEastAsia" w:hAnsiTheme="minorHAnsi" w:cstheme="minorBidi"/>
          <w:noProof/>
          <w:sz w:val="22"/>
          <w:szCs w:val="22"/>
          <w:lang w:eastAsia="en-GB"/>
        </w:rPr>
      </w:pPr>
      <w:hyperlink w:anchor="_Toc515359227" w:history="1">
        <w:r w:rsidR="00F55B1F" w:rsidRPr="00891667">
          <w:rPr>
            <w:rStyle w:val="Hyperlink"/>
            <w:noProof/>
          </w:rPr>
          <w:t>4.2.</w:t>
        </w:r>
        <w:r w:rsidR="00F55B1F">
          <w:rPr>
            <w:rFonts w:asciiTheme="minorHAnsi" w:eastAsiaTheme="minorEastAsia" w:hAnsiTheme="minorHAnsi" w:cstheme="minorBidi"/>
            <w:noProof/>
            <w:sz w:val="22"/>
            <w:szCs w:val="22"/>
            <w:lang w:eastAsia="en-GB"/>
          </w:rPr>
          <w:tab/>
        </w:r>
        <w:r w:rsidR="00F55B1F" w:rsidRPr="00891667">
          <w:rPr>
            <w:rStyle w:val="Hyperlink"/>
            <w:noProof/>
          </w:rPr>
          <w:t>Public health impact</w:t>
        </w:r>
        <w:r w:rsidR="00F55B1F">
          <w:rPr>
            <w:noProof/>
            <w:webHidden/>
          </w:rPr>
          <w:tab/>
        </w:r>
        <w:r w:rsidR="00F55B1F">
          <w:rPr>
            <w:noProof/>
            <w:webHidden/>
          </w:rPr>
          <w:fldChar w:fldCharType="begin"/>
        </w:r>
        <w:r w:rsidR="00F55B1F">
          <w:rPr>
            <w:noProof/>
            <w:webHidden/>
          </w:rPr>
          <w:instrText xml:space="preserve"> PAGEREF _Toc515359227 \h </w:instrText>
        </w:r>
        <w:r w:rsidR="00F55B1F">
          <w:rPr>
            <w:noProof/>
            <w:webHidden/>
          </w:rPr>
        </w:r>
        <w:r w:rsidR="00F55B1F">
          <w:rPr>
            <w:noProof/>
            <w:webHidden/>
          </w:rPr>
          <w:fldChar w:fldCharType="separate"/>
        </w:r>
        <w:r w:rsidR="00E21B7F">
          <w:rPr>
            <w:noProof/>
            <w:webHidden/>
          </w:rPr>
          <w:t>40</w:t>
        </w:r>
        <w:r w:rsidR="00F55B1F">
          <w:rPr>
            <w:noProof/>
            <w:webHidden/>
          </w:rPr>
          <w:fldChar w:fldCharType="end"/>
        </w:r>
      </w:hyperlink>
    </w:p>
    <w:p w14:paraId="003B3E4A" w14:textId="18260A02" w:rsidR="00F55B1F" w:rsidRDefault="00BF391F">
      <w:pPr>
        <w:pStyle w:val="TOC2"/>
        <w:tabs>
          <w:tab w:val="left" w:pos="960"/>
          <w:tab w:val="right" w:leader="dot" w:pos="9016"/>
        </w:tabs>
        <w:rPr>
          <w:rFonts w:asciiTheme="minorHAnsi" w:eastAsiaTheme="minorEastAsia" w:hAnsiTheme="minorHAnsi" w:cstheme="minorBidi"/>
          <w:noProof/>
          <w:sz w:val="22"/>
          <w:szCs w:val="22"/>
          <w:lang w:eastAsia="en-GB"/>
        </w:rPr>
      </w:pPr>
      <w:hyperlink w:anchor="_Toc515359228" w:history="1">
        <w:r w:rsidR="00F55B1F" w:rsidRPr="00891667">
          <w:rPr>
            <w:rStyle w:val="Hyperlink"/>
            <w:noProof/>
          </w:rPr>
          <w:t>4.3.</w:t>
        </w:r>
        <w:r w:rsidR="00F55B1F">
          <w:rPr>
            <w:rFonts w:asciiTheme="minorHAnsi" w:eastAsiaTheme="minorEastAsia" w:hAnsiTheme="minorHAnsi" w:cstheme="minorBidi"/>
            <w:noProof/>
            <w:sz w:val="22"/>
            <w:szCs w:val="22"/>
            <w:lang w:eastAsia="en-GB"/>
          </w:rPr>
          <w:tab/>
        </w:r>
        <w:r w:rsidR="00F55B1F" w:rsidRPr="00891667">
          <w:rPr>
            <w:rStyle w:val="Hyperlink"/>
            <w:noProof/>
          </w:rPr>
          <w:t>Extent of sustainability and potential for scalability</w:t>
        </w:r>
        <w:r w:rsidR="00F55B1F">
          <w:rPr>
            <w:noProof/>
            <w:webHidden/>
          </w:rPr>
          <w:tab/>
        </w:r>
        <w:r w:rsidR="00F55B1F">
          <w:rPr>
            <w:noProof/>
            <w:webHidden/>
          </w:rPr>
          <w:fldChar w:fldCharType="begin"/>
        </w:r>
        <w:r w:rsidR="00F55B1F">
          <w:rPr>
            <w:noProof/>
            <w:webHidden/>
          </w:rPr>
          <w:instrText xml:space="preserve"> PAGEREF _Toc515359228 \h </w:instrText>
        </w:r>
        <w:r w:rsidR="00F55B1F">
          <w:rPr>
            <w:noProof/>
            <w:webHidden/>
          </w:rPr>
        </w:r>
        <w:r w:rsidR="00F55B1F">
          <w:rPr>
            <w:noProof/>
            <w:webHidden/>
          </w:rPr>
          <w:fldChar w:fldCharType="separate"/>
        </w:r>
        <w:r w:rsidR="00E21B7F">
          <w:rPr>
            <w:noProof/>
            <w:webHidden/>
          </w:rPr>
          <w:t>45</w:t>
        </w:r>
        <w:r w:rsidR="00F55B1F">
          <w:rPr>
            <w:noProof/>
            <w:webHidden/>
          </w:rPr>
          <w:fldChar w:fldCharType="end"/>
        </w:r>
      </w:hyperlink>
    </w:p>
    <w:p w14:paraId="7BD1426B" w14:textId="5D6F5DAD" w:rsidR="00F55B1F" w:rsidRDefault="00BF391F">
      <w:pPr>
        <w:pStyle w:val="TOC1"/>
        <w:tabs>
          <w:tab w:val="left" w:pos="480"/>
          <w:tab w:val="right" w:leader="dot" w:pos="9016"/>
        </w:tabs>
        <w:rPr>
          <w:rFonts w:asciiTheme="minorHAnsi" w:eastAsiaTheme="minorEastAsia" w:hAnsiTheme="minorHAnsi" w:cstheme="minorBidi"/>
          <w:b w:val="0"/>
          <w:noProof/>
          <w:sz w:val="22"/>
          <w:szCs w:val="22"/>
          <w:lang w:eastAsia="en-GB"/>
        </w:rPr>
      </w:pPr>
      <w:hyperlink w:anchor="_Toc515359229" w:history="1">
        <w:r w:rsidR="00F55B1F" w:rsidRPr="00891667">
          <w:rPr>
            <w:rStyle w:val="Hyperlink"/>
            <w:noProof/>
            <w:lang w:val="en-US"/>
          </w:rPr>
          <w:t>5.</w:t>
        </w:r>
        <w:r w:rsidR="00F55B1F">
          <w:rPr>
            <w:rFonts w:asciiTheme="minorHAnsi" w:eastAsiaTheme="minorEastAsia" w:hAnsiTheme="minorHAnsi" w:cstheme="minorBidi"/>
            <w:b w:val="0"/>
            <w:noProof/>
            <w:sz w:val="22"/>
            <w:szCs w:val="22"/>
            <w:lang w:eastAsia="en-GB"/>
          </w:rPr>
          <w:tab/>
        </w:r>
        <w:r w:rsidR="00F55B1F" w:rsidRPr="00891667">
          <w:rPr>
            <w:rStyle w:val="Hyperlink"/>
            <w:noProof/>
            <w:lang w:val="en-US"/>
          </w:rPr>
          <w:t>Conclusions and lessons learnt</w:t>
        </w:r>
        <w:r w:rsidR="00F55B1F">
          <w:rPr>
            <w:noProof/>
            <w:webHidden/>
          </w:rPr>
          <w:tab/>
        </w:r>
        <w:r w:rsidR="00F55B1F">
          <w:rPr>
            <w:noProof/>
            <w:webHidden/>
          </w:rPr>
          <w:fldChar w:fldCharType="begin"/>
        </w:r>
        <w:r w:rsidR="00F55B1F">
          <w:rPr>
            <w:noProof/>
            <w:webHidden/>
          </w:rPr>
          <w:instrText xml:space="preserve"> PAGEREF _Toc515359229 \h </w:instrText>
        </w:r>
        <w:r w:rsidR="00F55B1F">
          <w:rPr>
            <w:noProof/>
            <w:webHidden/>
          </w:rPr>
        </w:r>
        <w:r w:rsidR="00F55B1F">
          <w:rPr>
            <w:noProof/>
            <w:webHidden/>
          </w:rPr>
          <w:fldChar w:fldCharType="separate"/>
        </w:r>
        <w:r w:rsidR="00E21B7F">
          <w:rPr>
            <w:noProof/>
            <w:webHidden/>
          </w:rPr>
          <w:t>49</w:t>
        </w:r>
        <w:r w:rsidR="00F55B1F">
          <w:rPr>
            <w:noProof/>
            <w:webHidden/>
          </w:rPr>
          <w:fldChar w:fldCharType="end"/>
        </w:r>
      </w:hyperlink>
    </w:p>
    <w:p w14:paraId="25EE0327" w14:textId="3021CB77" w:rsidR="00F55B1F" w:rsidRDefault="00BF391F">
      <w:pPr>
        <w:pStyle w:val="TOC1"/>
        <w:tabs>
          <w:tab w:val="left" w:pos="1200"/>
          <w:tab w:val="right" w:leader="dot" w:pos="9016"/>
        </w:tabs>
        <w:rPr>
          <w:rFonts w:asciiTheme="minorHAnsi" w:eastAsiaTheme="minorEastAsia" w:hAnsiTheme="minorHAnsi" w:cstheme="minorBidi"/>
          <w:b w:val="0"/>
          <w:noProof/>
          <w:sz w:val="22"/>
          <w:szCs w:val="22"/>
          <w:lang w:eastAsia="en-GB"/>
        </w:rPr>
      </w:pPr>
      <w:hyperlink w:anchor="_Toc515359230" w:history="1">
        <w:r w:rsidR="00F55B1F" w:rsidRPr="00891667">
          <w:rPr>
            <w:rStyle w:val="Hyperlink"/>
            <w:noProof/>
          </w:rPr>
          <w:t>ANNEX A</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List of references</w:t>
        </w:r>
        <w:r w:rsidR="00F55B1F">
          <w:rPr>
            <w:noProof/>
            <w:webHidden/>
          </w:rPr>
          <w:tab/>
        </w:r>
        <w:r w:rsidR="00F55B1F">
          <w:rPr>
            <w:noProof/>
            <w:webHidden/>
          </w:rPr>
          <w:fldChar w:fldCharType="begin"/>
        </w:r>
        <w:r w:rsidR="00F55B1F">
          <w:rPr>
            <w:noProof/>
            <w:webHidden/>
          </w:rPr>
          <w:instrText xml:space="preserve"> PAGEREF _Toc515359230 \h </w:instrText>
        </w:r>
        <w:r w:rsidR="00F55B1F">
          <w:rPr>
            <w:noProof/>
            <w:webHidden/>
          </w:rPr>
        </w:r>
        <w:r w:rsidR="00F55B1F">
          <w:rPr>
            <w:noProof/>
            <w:webHidden/>
          </w:rPr>
          <w:fldChar w:fldCharType="separate"/>
        </w:r>
        <w:r w:rsidR="00E21B7F">
          <w:rPr>
            <w:noProof/>
            <w:webHidden/>
          </w:rPr>
          <w:t>52</w:t>
        </w:r>
        <w:r w:rsidR="00F55B1F">
          <w:rPr>
            <w:noProof/>
            <w:webHidden/>
          </w:rPr>
          <w:fldChar w:fldCharType="end"/>
        </w:r>
      </w:hyperlink>
    </w:p>
    <w:p w14:paraId="36FBAFD5" w14:textId="33C1EF4B" w:rsidR="00F55B1F" w:rsidRDefault="00BF391F">
      <w:pPr>
        <w:pStyle w:val="TOC1"/>
        <w:tabs>
          <w:tab w:val="left" w:pos="1200"/>
          <w:tab w:val="right" w:leader="dot" w:pos="9016"/>
        </w:tabs>
        <w:rPr>
          <w:rFonts w:asciiTheme="minorHAnsi" w:eastAsiaTheme="minorEastAsia" w:hAnsiTheme="minorHAnsi" w:cstheme="minorBidi"/>
          <w:b w:val="0"/>
          <w:noProof/>
          <w:sz w:val="22"/>
          <w:szCs w:val="22"/>
          <w:lang w:eastAsia="en-GB"/>
        </w:rPr>
      </w:pPr>
      <w:hyperlink w:anchor="_Toc515359231" w:history="1">
        <w:r w:rsidR="00F55B1F" w:rsidRPr="00891667">
          <w:rPr>
            <w:rStyle w:val="Hyperlink"/>
            <w:noProof/>
          </w:rPr>
          <w:t>ANNEX B</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Consultations and interview guides</w:t>
        </w:r>
        <w:r w:rsidR="00F55B1F">
          <w:rPr>
            <w:noProof/>
            <w:webHidden/>
          </w:rPr>
          <w:tab/>
        </w:r>
        <w:r w:rsidR="00F55B1F">
          <w:rPr>
            <w:noProof/>
            <w:webHidden/>
          </w:rPr>
          <w:fldChar w:fldCharType="begin"/>
        </w:r>
        <w:r w:rsidR="00F55B1F">
          <w:rPr>
            <w:noProof/>
            <w:webHidden/>
          </w:rPr>
          <w:instrText xml:space="preserve"> PAGEREF _Toc515359231 \h </w:instrText>
        </w:r>
        <w:r w:rsidR="00F55B1F">
          <w:rPr>
            <w:noProof/>
            <w:webHidden/>
          </w:rPr>
        </w:r>
        <w:r w:rsidR="00F55B1F">
          <w:rPr>
            <w:noProof/>
            <w:webHidden/>
          </w:rPr>
          <w:fldChar w:fldCharType="separate"/>
        </w:r>
        <w:r w:rsidR="00E21B7F">
          <w:rPr>
            <w:noProof/>
            <w:webHidden/>
          </w:rPr>
          <w:t>55</w:t>
        </w:r>
        <w:r w:rsidR="00F55B1F">
          <w:rPr>
            <w:noProof/>
            <w:webHidden/>
          </w:rPr>
          <w:fldChar w:fldCharType="end"/>
        </w:r>
      </w:hyperlink>
    </w:p>
    <w:p w14:paraId="70954ED9" w14:textId="250F60E7" w:rsidR="00F55B1F" w:rsidRDefault="00BF391F">
      <w:pPr>
        <w:pStyle w:val="TOC1"/>
        <w:tabs>
          <w:tab w:val="left" w:pos="1200"/>
          <w:tab w:val="right" w:leader="dot" w:pos="9016"/>
        </w:tabs>
        <w:rPr>
          <w:rFonts w:asciiTheme="minorHAnsi" w:eastAsiaTheme="minorEastAsia" w:hAnsiTheme="minorHAnsi" w:cstheme="minorBidi"/>
          <w:b w:val="0"/>
          <w:noProof/>
          <w:sz w:val="22"/>
          <w:szCs w:val="22"/>
          <w:lang w:eastAsia="en-GB"/>
        </w:rPr>
      </w:pPr>
      <w:hyperlink w:anchor="_Toc515359232" w:history="1">
        <w:r w:rsidR="00F55B1F" w:rsidRPr="00891667">
          <w:rPr>
            <w:rStyle w:val="Hyperlink"/>
            <w:noProof/>
          </w:rPr>
          <w:t>ANNEX C</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Mapping of Unitaid 2013-16 strategy objectives with grant focus</w:t>
        </w:r>
        <w:r w:rsidR="00F55B1F">
          <w:rPr>
            <w:noProof/>
            <w:webHidden/>
          </w:rPr>
          <w:tab/>
        </w:r>
        <w:r w:rsidR="00F55B1F">
          <w:rPr>
            <w:noProof/>
            <w:webHidden/>
          </w:rPr>
          <w:fldChar w:fldCharType="begin"/>
        </w:r>
        <w:r w:rsidR="00F55B1F">
          <w:rPr>
            <w:noProof/>
            <w:webHidden/>
          </w:rPr>
          <w:instrText xml:space="preserve"> PAGEREF _Toc515359232 \h </w:instrText>
        </w:r>
        <w:r w:rsidR="00F55B1F">
          <w:rPr>
            <w:noProof/>
            <w:webHidden/>
          </w:rPr>
        </w:r>
        <w:r w:rsidR="00F55B1F">
          <w:rPr>
            <w:noProof/>
            <w:webHidden/>
          </w:rPr>
          <w:fldChar w:fldCharType="separate"/>
        </w:r>
        <w:r w:rsidR="00E21B7F">
          <w:rPr>
            <w:noProof/>
            <w:webHidden/>
          </w:rPr>
          <w:t>61</w:t>
        </w:r>
        <w:r w:rsidR="00F55B1F">
          <w:rPr>
            <w:noProof/>
            <w:webHidden/>
          </w:rPr>
          <w:fldChar w:fldCharType="end"/>
        </w:r>
      </w:hyperlink>
    </w:p>
    <w:p w14:paraId="2AFEDE2F" w14:textId="17B179EC" w:rsidR="00F55B1F" w:rsidRDefault="00BF391F">
      <w:pPr>
        <w:pStyle w:val="TOC1"/>
        <w:tabs>
          <w:tab w:val="left" w:pos="1200"/>
          <w:tab w:val="right" w:leader="dot" w:pos="9016"/>
        </w:tabs>
        <w:rPr>
          <w:rFonts w:asciiTheme="minorHAnsi" w:eastAsiaTheme="minorEastAsia" w:hAnsiTheme="minorHAnsi" w:cstheme="minorBidi"/>
          <w:b w:val="0"/>
          <w:noProof/>
          <w:sz w:val="22"/>
          <w:szCs w:val="22"/>
          <w:lang w:eastAsia="en-GB"/>
        </w:rPr>
      </w:pPr>
      <w:hyperlink w:anchor="_Toc515359233" w:history="1">
        <w:r w:rsidR="00F55B1F" w:rsidRPr="00891667">
          <w:rPr>
            <w:rStyle w:val="Hyperlink"/>
            <w:noProof/>
          </w:rPr>
          <w:t>ANNEX D</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Complementarity of the MSF grant with Unitaid’s broader portfolio</w:t>
        </w:r>
        <w:r w:rsidR="00F55B1F">
          <w:rPr>
            <w:noProof/>
            <w:webHidden/>
          </w:rPr>
          <w:tab/>
        </w:r>
        <w:r w:rsidR="00F55B1F">
          <w:rPr>
            <w:noProof/>
            <w:webHidden/>
          </w:rPr>
          <w:fldChar w:fldCharType="begin"/>
        </w:r>
        <w:r w:rsidR="00F55B1F">
          <w:rPr>
            <w:noProof/>
            <w:webHidden/>
          </w:rPr>
          <w:instrText xml:space="preserve"> PAGEREF _Toc515359233 \h </w:instrText>
        </w:r>
        <w:r w:rsidR="00F55B1F">
          <w:rPr>
            <w:noProof/>
            <w:webHidden/>
          </w:rPr>
        </w:r>
        <w:r w:rsidR="00F55B1F">
          <w:rPr>
            <w:noProof/>
            <w:webHidden/>
          </w:rPr>
          <w:fldChar w:fldCharType="separate"/>
        </w:r>
        <w:r w:rsidR="00E21B7F">
          <w:rPr>
            <w:noProof/>
            <w:webHidden/>
          </w:rPr>
          <w:t>62</w:t>
        </w:r>
        <w:r w:rsidR="00F55B1F">
          <w:rPr>
            <w:noProof/>
            <w:webHidden/>
          </w:rPr>
          <w:fldChar w:fldCharType="end"/>
        </w:r>
      </w:hyperlink>
    </w:p>
    <w:p w14:paraId="0E9E7497" w14:textId="0708A86C" w:rsidR="00F55B1F" w:rsidRDefault="00BF391F">
      <w:pPr>
        <w:pStyle w:val="TOC1"/>
        <w:tabs>
          <w:tab w:val="left" w:pos="1200"/>
          <w:tab w:val="right" w:leader="dot" w:pos="9016"/>
        </w:tabs>
        <w:rPr>
          <w:rFonts w:asciiTheme="minorHAnsi" w:eastAsiaTheme="minorEastAsia" w:hAnsiTheme="minorHAnsi" w:cstheme="minorBidi"/>
          <w:b w:val="0"/>
          <w:noProof/>
          <w:sz w:val="22"/>
          <w:szCs w:val="22"/>
          <w:lang w:eastAsia="en-GB"/>
        </w:rPr>
      </w:pPr>
      <w:hyperlink w:anchor="_Toc515359234" w:history="1">
        <w:r w:rsidR="00F55B1F" w:rsidRPr="00891667">
          <w:rPr>
            <w:rStyle w:val="Hyperlink"/>
            <w:noProof/>
          </w:rPr>
          <w:t>ANNEX E</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Project logframe and achievements</w:t>
        </w:r>
        <w:r w:rsidR="00F55B1F">
          <w:rPr>
            <w:noProof/>
            <w:webHidden/>
          </w:rPr>
          <w:tab/>
        </w:r>
        <w:r w:rsidR="00F55B1F">
          <w:rPr>
            <w:noProof/>
            <w:webHidden/>
          </w:rPr>
          <w:fldChar w:fldCharType="begin"/>
        </w:r>
        <w:r w:rsidR="00F55B1F">
          <w:rPr>
            <w:noProof/>
            <w:webHidden/>
          </w:rPr>
          <w:instrText xml:space="preserve"> PAGEREF _Toc515359234 \h </w:instrText>
        </w:r>
        <w:r w:rsidR="00F55B1F">
          <w:rPr>
            <w:noProof/>
            <w:webHidden/>
          </w:rPr>
        </w:r>
        <w:r w:rsidR="00F55B1F">
          <w:rPr>
            <w:noProof/>
            <w:webHidden/>
          </w:rPr>
          <w:fldChar w:fldCharType="separate"/>
        </w:r>
        <w:r w:rsidR="00E21B7F">
          <w:rPr>
            <w:noProof/>
            <w:webHidden/>
          </w:rPr>
          <w:t>63</w:t>
        </w:r>
        <w:r w:rsidR="00F55B1F">
          <w:rPr>
            <w:noProof/>
            <w:webHidden/>
          </w:rPr>
          <w:fldChar w:fldCharType="end"/>
        </w:r>
      </w:hyperlink>
    </w:p>
    <w:p w14:paraId="6FEB6B37" w14:textId="7DEC91F8" w:rsidR="00F55B1F" w:rsidRDefault="00BF391F">
      <w:pPr>
        <w:pStyle w:val="TOC1"/>
        <w:tabs>
          <w:tab w:val="left" w:pos="1200"/>
          <w:tab w:val="right" w:leader="dot" w:pos="9016"/>
        </w:tabs>
        <w:rPr>
          <w:rFonts w:asciiTheme="minorHAnsi" w:eastAsiaTheme="minorEastAsia" w:hAnsiTheme="minorHAnsi" w:cstheme="minorBidi"/>
          <w:b w:val="0"/>
          <w:noProof/>
          <w:sz w:val="22"/>
          <w:szCs w:val="22"/>
          <w:lang w:eastAsia="en-GB"/>
        </w:rPr>
      </w:pPr>
      <w:hyperlink w:anchor="_Toc515359235" w:history="1">
        <w:r w:rsidR="00F55B1F" w:rsidRPr="00891667">
          <w:rPr>
            <w:rStyle w:val="Hyperlink"/>
            <w:noProof/>
          </w:rPr>
          <w:t>ANNEX F</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Project procurement overview</w:t>
        </w:r>
        <w:r w:rsidR="00F55B1F">
          <w:rPr>
            <w:noProof/>
            <w:webHidden/>
          </w:rPr>
          <w:tab/>
        </w:r>
        <w:r w:rsidR="00F55B1F">
          <w:rPr>
            <w:noProof/>
            <w:webHidden/>
          </w:rPr>
          <w:fldChar w:fldCharType="begin"/>
        </w:r>
        <w:r w:rsidR="00F55B1F">
          <w:rPr>
            <w:noProof/>
            <w:webHidden/>
          </w:rPr>
          <w:instrText xml:space="preserve"> PAGEREF _Toc515359235 \h </w:instrText>
        </w:r>
        <w:r w:rsidR="00F55B1F">
          <w:rPr>
            <w:noProof/>
            <w:webHidden/>
          </w:rPr>
        </w:r>
        <w:r w:rsidR="00F55B1F">
          <w:rPr>
            <w:noProof/>
            <w:webHidden/>
          </w:rPr>
          <w:fldChar w:fldCharType="separate"/>
        </w:r>
        <w:r w:rsidR="00E21B7F">
          <w:rPr>
            <w:noProof/>
            <w:webHidden/>
          </w:rPr>
          <w:t>66</w:t>
        </w:r>
        <w:r w:rsidR="00F55B1F">
          <w:rPr>
            <w:noProof/>
            <w:webHidden/>
          </w:rPr>
          <w:fldChar w:fldCharType="end"/>
        </w:r>
      </w:hyperlink>
    </w:p>
    <w:p w14:paraId="357D1D2F" w14:textId="23CB4B2F" w:rsidR="00F55B1F" w:rsidRDefault="00BF391F">
      <w:pPr>
        <w:pStyle w:val="TOC1"/>
        <w:tabs>
          <w:tab w:val="left" w:pos="1200"/>
          <w:tab w:val="right" w:leader="dot" w:pos="9016"/>
        </w:tabs>
        <w:rPr>
          <w:rFonts w:asciiTheme="minorHAnsi" w:eastAsiaTheme="minorEastAsia" w:hAnsiTheme="minorHAnsi" w:cstheme="minorBidi"/>
          <w:b w:val="0"/>
          <w:noProof/>
          <w:sz w:val="22"/>
          <w:szCs w:val="22"/>
          <w:lang w:eastAsia="en-GB"/>
        </w:rPr>
      </w:pPr>
      <w:hyperlink w:anchor="_Toc515359236" w:history="1">
        <w:r w:rsidR="00F55B1F" w:rsidRPr="00891667">
          <w:rPr>
            <w:rStyle w:val="Hyperlink"/>
            <w:noProof/>
          </w:rPr>
          <w:t>ANNEX G</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Summary of country programmes and progress</w:t>
        </w:r>
        <w:r w:rsidR="00F55B1F">
          <w:rPr>
            <w:noProof/>
            <w:webHidden/>
          </w:rPr>
          <w:tab/>
        </w:r>
        <w:r w:rsidR="00F55B1F">
          <w:rPr>
            <w:noProof/>
            <w:webHidden/>
          </w:rPr>
          <w:fldChar w:fldCharType="begin"/>
        </w:r>
        <w:r w:rsidR="00F55B1F">
          <w:rPr>
            <w:noProof/>
            <w:webHidden/>
          </w:rPr>
          <w:instrText xml:space="preserve"> PAGEREF _Toc515359236 \h </w:instrText>
        </w:r>
        <w:r w:rsidR="00F55B1F">
          <w:rPr>
            <w:noProof/>
            <w:webHidden/>
          </w:rPr>
        </w:r>
        <w:r w:rsidR="00F55B1F">
          <w:rPr>
            <w:noProof/>
            <w:webHidden/>
          </w:rPr>
          <w:fldChar w:fldCharType="separate"/>
        </w:r>
        <w:r w:rsidR="00E21B7F">
          <w:rPr>
            <w:noProof/>
            <w:webHidden/>
          </w:rPr>
          <w:t>70</w:t>
        </w:r>
        <w:r w:rsidR="00F55B1F">
          <w:rPr>
            <w:noProof/>
            <w:webHidden/>
          </w:rPr>
          <w:fldChar w:fldCharType="end"/>
        </w:r>
      </w:hyperlink>
    </w:p>
    <w:p w14:paraId="1BD565D3" w14:textId="0A86A1F6" w:rsidR="00F55B1F" w:rsidRDefault="00BF391F">
      <w:pPr>
        <w:pStyle w:val="TOC1"/>
        <w:tabs>
          <w:tab w:val="left" w:pos="1200"/>
          <w:tab w:val="right" w:leader="dot" w:pos="9016"/>
        </w:tabs>
        <w:rPr>
          <w:rFonts w:asciiTheme="minorHAnsi" w:eastAsiaTheme="minorEastAsia" w:hAnsiTheme="minorHAnsi" w:cstheme="minorBidi"/>
          <w:b w:val="0"/>
          <w:noProof/>
          <w:sz w:val="22"/>
          <w:szCs w:val="22"/>
          <w:lang w:eastAsia="en-GB"/>
        </w:rPr>
      </w:pPr>
      <w:hyperlink w:anchor="_Toc515359237" w:history="1">
        <w:r w:rsidR="00F55B1F" w:rsidRPr="00891667">
          <w:rPr>
            <w:rStyle w:val="Hyperlink"/>
            <w:noProof/>
          </w:rPr>
          <w:t>ANNEX H</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Sustainability of country programmes</w:t>
        </w:r>
        <w:r w:rsidR="00F55B1F">
          <w:rPr>
            <w:noProof/>
            <w:webHidden/>
          </w:rPr>
          <w:tab/>
        </w:r>
        <w:r w:rsidR="00F55B1F">
          <w:rPr>
            <w:noProof/>
            <w:webHidden/>
          </w:rPr>
          <w:fldChar w:fldCharType="begin"/>
        </w:r>
        <w:r w:rsidR="00F55B1F">
          <w:rPr>
            <w:noProof/>
            <w:webHidden/>
          </w:rPr>
          <w:instrText xml:space="preserve"> PAGEREF _Toc515359237 \h </w:instrText>
        </w:r>
        <w:r w:rsidR="00F55B1F">
          <w:rPr>
            <w:noProof/>
            <w:webHidden/>
          </w:rPr>
        </w:r>
        <w:r w:rsidR="00F55B1F">
          <w:rPr>
            <w:noProof/>
            <w:webHidden/>
          </w:rPr>
          <w:fldChar w:fldCharType="separate"/>
        </w:r>
        <w:r w:rsidR="00E21B7F">
          <w:rPr>
            <w:noProof/>
            <w:webHidden/>
          </w:rPr>
          <w:t>76</w:t>
        </w:r>
        <w:r w:rsidR="00F55B1F">
          <w:rPr>
            <w:noProof/>
            <w:webHidden/>
          </w:rPr>
          <w:fldChar w:fldCharType="end"/>
        </w:r>
      </w:hyperlink>
    </w:p>
    <w:p w14:paraId="64B009A5" w14:textId="1E56B232" w:rsidR="00F55B1F" w:rsidRDefault="00BF391F">
      <w:pPr>
        <w:pStyle w:val="TOC1"/>
        <w:tabs>
          <w:tab w:val="left" w:pos="1200"/>
          <w:tab w:val="right" w:leader="dot" w:pos="9016"/>
        </w:tabs>
        <w:rPr>
          <w:rFonts w:asciiTheme="minorHAnsi" w:eastAsiaTheme="minorEastAsia" w:hAnsiTheme="minorHAnsi" w:cstheme="minorBidi"/>
          <w:b w:val="0"/>
          <w:noProof/>
          <w:sz w:val="22"/>
          <w:szCs w:val="22"/>
          <w:lang w:eastAsia="en-GB"/>
        </w:rPr>
      </w:pPr>
      <w:hyperlink w:anchor="_Toc515359238" w:history="1">
        <w:r w:rsidR="00F55B1F" w:rsidRPr="00891667">
          <w:rPr>
            <w:rStyle w:val="Hyperlink"/>
            <w:noProof/>
          </w:rPr>
          <w:t>ANNEX I</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Presentation of conclusions as per Unitaid’s 2017-21 strategy KPIs</w:t>
        </w:r>
        <w:r w:rsidR="00F55B1F">
          <w:rPr>
            <w:noProof/>
            <w:webHidden/>
          </w:rPr>
          <w:tab/>
        </w:r>
        <w:r w:rsidR="00F55B1F">
          <w:rPr>
            <w:noProof/>
            <w:webHidden/>
          </w:rPr>
          <w:fldChar w:fldCharType="begin"/>
        </w:r>
        <w:r w:rsidR="00F55B1F">
          <w:rPr>
            <w:noProof/>
            <w:webHidden/>
          </w:rPr>
          <w:instrText xml:space="preserve"> PAGEREF _Toc515359238 \h </w:instrText>
        </w:r>
        <w:r w:rsidR="00F55B1F">
          <w:rPr>
            <w:noProof/>
            <w:webHidden/>
          </w:rPr>
        </w:r>
        <w:r w:rsidR="00F55B1F">
          <w:rPr>
            <w:noProof/>
            <w:webHidden/>
          </w:rPr>
          <w:fldChar w:fldCharType="separate"/>
        </w:r>
        <w:r w:rsidR="00E21B7F">
          <w:rPr>
            <w:noProof/>
            <w:webHidden/>
          </w:rPr>
          <w:t>81</w:t>
        </w:r>
        <w:r w:rsidR="00F55B1F">
          <w:rPr>
            <w:noProof/>
            <w:webHidden/>
          </w:rPr>
          <w:fldChar w:fldCharType="end"/>
        </w:r>
      </w:hyperlink>
    </w:p>
    <w:p w14:paraId="506EEF68" w14:textId="152852A1" w:rsidR="00F55B1F" w:rsidRDefault="00BF391F">
      <w:pPr>
        <w:pStyle w:val="TOC1"/>
        <w:tabs>
          <w:tab w:val="left" w:pos="1200"/>
          <w:tab w:val="right" w:leader="dot" w:pos="9016"/>
        </w:tabs>
        <w:rPr>
          <w:rFonts w:asciiTheme="minorHAnsi" w:eastAsiaTheme="minorEastAsia" w:hAnsiTheme="minorHAnsi" w:cstheme="minorBidi"/>
          <w:b w:val="0"/>
          <w:noProof/>
          <w:sz w:val="22"/>
          <w:szCs w:val="22"/>
          <w:lang w:eastAsia="en-GB"/>
        </w:rPr>
      </w:pPr>
      <w:hyperlink w:anchor="_Toc515359239" w:history="1">
        <w:r w:rsidR="00F55B1F" w:rsidRPr="00891667">
          <w:rPr>
            <w:rStyle w:val="Hyperlink"/>
            <w:noProof/>
          </w:rPr>
          <w:t>ANNEX J</w:t>
        </w:r>
        <w:r w:rsidR="00F55B1F">
          <w:rPr>
            <w:rFonts w:asciiTheme="minorHAnsi" w:eastAsiaTheme="minorEastAsia" w:hAnsiTheme="minorHAnsi" w:cstheme="minorBidi"/>
            <w:b w:val="0"/>
            <w:noProof/>
            <w:sz w:val="22"/>
            <w:szCs w:val="22"/>
            <w:lang w:eastAsia="en-GB"/>
          </w:rPr>
          <w:tab/>
        </w:r>
        <w:r w:rsidR="00F55B1F" w:rsidRPr="00891667">
          <w:rPr>
            <w:rStyle w:val="Hyperlink"/>
            <w:noProof/>
          </w:rPr>
          <w:t>Public health impact analysis: results and background notes</w:t>
        </w:r>
        <w:r w:rsidR="00F55B1F">
          <w:rPr>
            <w:noProof/>
            <w:webHidden/>
          </w:rPr>
          <w:tab/>
        </w:r>
        <w:r w:rsidR="00F55B1F">
          <w:rPr>
            <w:noProof/>
            <w:webHidden/>
          </w:rPr>
          <w:fldChar w:fldCharType="begin"/>
        </w:r>
        <w:r w:rsidR="00F55B1F">
          <w:rPr>
            <w:noProof/>
            <w:webHidden/>
          </w:rPr>
          <w:instrText xml:space="preserve"> PAGEREF _Toc515359239 \h </w:instrText>
        </w:r>
        <w:r w:rsidR="00F55B1F">
          <w:rPr>
            <w:noProof/>
            <w:webHidden/>
          </w:rPr>
        </w:r>
        <w:r w:rsidR="00F55B1F">
          <w:rPr>
            <w:noProof/>
            <w:webHidden/>
          </w:rPr>
          <w:fldChar w:fldCharType="separate"/>
        </w:r>
        <w:r w:rsidR="00E21B7F">
          <w:rPr>
            <w:noProof/>
            <w:webHidden/>
          </w:rPr>
          <w:t>85</w:t>
        </w:r>
        <w:r w:rsidR="00F55B1F">
          <w:rPr>
            <w:noProof/>
            <w:webHidden/>
          </w:rPr>
          <w:fldChar w:fldCharType="end"/>
        </w:r>
      </w:hyperlink>
    </w:p>
    <w:p w14:paraId="7FCCDD6B" w14:textId="77777777" w:rsidR="00125677" w:rsidRPr="00B943ED" w:rsidRDefault="00125677" w:rsidP="00125677">
      <w:pPr>
        <w:pStyle w:val="TOC1"/>
        <w:tabs>
          <w:tab w:val="right" w:leader="dot" w:pos="9016"/>
        </w:tabs>
        <w:rPr>
          <w:b w:val="0"/>
          <w:smallCaps/>
          <w:sz w:val="28"/>
        </w:rPr>
      </w:pPr>
      <w:r w:rsidRPr="00B943ED">
        <w:rPr>
          <w:b w:val="0"/>
          <w:smallCaps/>
          <w:sz w:val="28"/>
        </w:rPr>
        <w:fldChar w:fldCharType="end"/>
      </w:r>
    </w:p>
    <w:p w14:paraId="71574149" w14:textId="77777777" w:rsidR="00125677" w:rsidRPr="00B943ED" w:rsidRDefault="00125677" w:rsidP="00125677">
      <w:pPr>
        <w:spacing w:after="160" w:line="259" w:lineRule="auto"/>
        <w:jc w:val="left"/>
      </w:pPr>
      <w:r w:rsidRPr="00B943ED">
        <w:br w:type="page"/>
      </w:r>
    </w:p>
    <w:p w14:paraId="723F11FE" w14:textId="77777777" w:rsidR="00A923F2" w:rsidRPr="00B943ED" w:rsidRDefault="00A923F2" w:rsidP="00A923F2">
      <w:pPr>
        <w:pStyle w:val="CEPAReportText"/>
        <w:spacing w:before="240" w:after="240" w:line="240" w:lineRule="auto"/>
        <w:rPr>
          <w:b/>
          <w:smallCaps/>
          <w:sz w:val="28"/>
          <w:szCs w:val="28"/>
        </w:rPr>
      </w:pPr>
      <w:r>
        <w:rPr>
          <w:b/>
          <w:smallCaps/>
          <w:sz w:val="28"/>
          <w:szCs w:val="28"/>
        </w:rPr>
        <w:lastRenderedPageBreak/>
        <w:t xml:space="preserve">Unitaid </w:t>
      </w:r>
      <w:r w:rsidRPr="1672FCFE">
        <w:rPr>
          <w:b/>
          <w:smallCaps/>
          <w:sz w:val="28"/>
          <w:szCs w:val="28"/>
        </w:rPr>
        <w:t>Disclaimer </w:t>
      </w:r>
    </w:p>
    <w:p w14:paraId="78A22F03" w14:textId="77777777" w:rsidR="00A923F2" w:rsidRPr="00B55E9C" w:rsidRDefault="00A923F2" w:rsidP="00B55E9C">
      <w:pPr>
        <w:pStyle w:val="CEPAReportText"/>
      </w:pPr>
      <w:r w:rsidRPr="00B55E9C">
        <w:t>This publication was prepared independently, by the authors identified on the cover page, at Unitaid’s request. The authors’ views expressed in this publication do not necessarily reflect the views of Unitaid. Unitaid expressly disclaims all liability or responsibility to any person in respect of use of the publication or reliance on the content of the publication.</w:t>
      </w:r>
    </w:p>
    <w:p w14:paraId="00F27C1B" w14:textId="77777777" w:rsidR="00A923F2" w:rsidRPr="00B55E9C" w:rsidRDefault="00A923F2" w:rsidP="00B55E9C">
      <w:pPr>
        <w:pStyle w:val="CEPAReportText"/>
      </w:pPr>
    </w:p>
    <w:p w14:paraId="3B70919E" w14:textId="66B8EAB8" w:rsidR="00125677" w:rsidRPr="00B943ED" w:rsidRDefault="00B30279" w:rsidP="00125677">
      <w:pPr>
        <w:pStyle w:val="CEPAReportText"/>
        <w:spacing w:before="240" w:after="240" w:line="240" w:lineRule="auto"/>
        <w:rPr>
          <w:b/>
          <w:smallCaps/>
          <w:sz w:val="28"/>
        </w:rPr>
      </w:pPr>
      <w:r>
        <w:rPr>
          <w:b/>
          <w:smallCaps/>
          <w:sz w:val="28"/>
        </w:rPr>
        <w:t xml:space="preserve">CEPA </w:t>
      </w:r>
      <w:r w:rsidR="00125677" w:rsidRPr="00B943ED">
        <w:rPr>
          <w:b/>
          <w:smallCaps/>
          <w:sz w:val="28"/>
        </w:rPr>
        <w:t>Disclaimer </w:t>
      </w:r>
    </w:p>
    <w:p w14:paraId="688F3D3A" w14:textId="77777777" w:rsidR="00125677" w:rsidRPr="00B55E9C" w:rsidRDefault="00125677" w:rsidP="00B55E9C">
      <w:pPr>
        <w:pStyle w:val="CEPAReportText"/>
      </w:pPr>
      <w:r w:rsidRPr="00B55E9C">
        <w:rPr>
          <w:rStyle w:val="normaltextrun"/>
        </w:rPr>
        <w:t>This report was prepared by Cambridge Economic Policy Associates (CEPA) for the exclusive use of the client(s) named herein.  </w:t>
      </w:r>
      <w:r w:rsidRPr="00B55E9C">
        <w:rPr>
          <w:rStyle w:val="eop"/>
        </w:rPr>
        <w:t> </w:t>
      </w:r>
    </w:p>
    <w:p w14:paraId="5A2CCA50" w14:textId="452E0525" w:rsidR="00125677" w:rsidRPr="00221E4E" w:rsidRDefault="00125677" w:rsidP="005D244B">
      <w:pPr>
        <w:pStyle w:val="CEPAReportText"/>
      </w:pPr>
      <w:r w:rsidRPr="005D244B">
        <w:rPr>
          <w:rStyle w:val="normaltextrun"/>
        </w:rPr>
        <w:t xml:space="preserve">Information furnished by others, upon which all or portions of this Report are based, is believed to be reliable but has not been independently verified, unless expressly indicated. Public information, industry, and statistical data are from sources we deem to be reliable; however, </w:t>
      </w:r>
      <w:r w:rsidRPr="00254615">
        <w:rPr>
          <w:rStyle w:val="normaltextrun"/>
        </w:rPr>
        <w:t>we make no representation as to the accuracy or completeness of such information, unless expressly indicated. The findings enclosed in this report may contain predictions based on current data and historical trends. Any such predictions are subject to inherent risks and uncertainties.</w:t>
      </w:r>
      <w:r w:rsidRPr="00221E4E">
        <w:rPr>
          <w:rStyle w:val="eop"/>
        </w:rPr>
        <w:t> </w:t>
      </w:r>
    </w:p>
    <w:p w14:paraId="035A3CA7" w14:textId="77777777" w:rsidR="00125677" w:rsidRPr="00B55E9C" w:rsidRDefault="00125677" w:rsidP="005D244B">
      <w:pPr>
        <w:pStyle w:val="CEPAReportText"/>
      </w:pPr>
      <w:r w:rsidRPr="00715F16">
        <w:rPr>
          <w:rStyle w:val="normaltextrun"/>
        </w:rPr>
        <w:t>The opinions expressed in this report are valid only for the purpose stated herein and as of the date of this report. No obligation is assumed to revise this report to reflect changes, events or conditions, which occur subsequent to the date hereof.</w:t>
      </w:r>
      <w:r w:rsidRPr="00715F16">
        <w:rPr>
          <w:rStyle w:val="eop"/>
        </w:rPr>
        <w:t> </w:t>
      </w:r>
    </w:p>
    <w:p w14:paraId="37D58120" w14:textId="3E1BEDC7" w:rsidR="00125677" w:rsidRPr="00B55E9C" w:rsidRDefault="00125677" w:rsidP="00254615">
      <w:pPr>
        <w:pStyle w:val="CEPAReportText"/>
      </w:pPr>
      <w:r w:rsidRPr="00715F16">
        <w:rPr>
          <w:rStyle w:val="normaltextrun"/>
        </w:rPr>
        <w:t>CEPA does not accept or assume any responsibility in respect of the Report to any readers of the Report (Third Parties), other than the client(s). To the fulles</w:t>
      </w:r>
      <w:r w:rsidR="006F2725" w:rsidRPr="00715F16">
        <w:rPr>
          <w:rStyle w:val="normaltextrun"/>
        </w:rPr>
        <w:t>t extent permitted by law, CEPA</w:t>
      </w:r>
      <w:r w:rsidRPr="00715F16">
        <w:rPr>
          <w:rStyle w:val="normaltextrun"/>
        </w:rPr>
        <w:t xml:space="preserve"> will accept no liability in respect of the Report to any Third Parties. Should any Third Parties choose to rely on the Report, then they do so at their own risk.</w:t>
      </w:r>
      <w:r w:rsidRPr="00715F16">
        <w:rPr>
          <w:rStyle w:val="eop"/>
        </w:rPr>
        <w:t> </w:t>
      </w:r>
    </w:p>
    <w:p w14:paraId="14C773C8" w14:textId="6B869F62" w:rsidR="00125677" w:rsidRPr="00B943ED" w:rsidRDefault="00125677" w:rsidP="00125677">
      <w:pPr>
        <w:pStyle w:val="CEPAReportText"/>
      </w:pPr>
    </w:p>
    <w:p w14:paraId="42B17A40" w14:textId="77777777" w:rsidR="00125677" w:rsidRPr="00B943ED" w:rsidRDefault="00125677" w:rsidP="00125677">
      <w:pPr>
        <w:sectPr w:rsidR="00125677" w:rsidRPr="00B943ED" w:rsidSect="00280C9A">
          <w:headerReference w:type="default" r:id="rId15"/>
          <w:footerReference w:type="default" r:id="rId16"/>
          <w:pgSz w:w="11906" w:h="16838"/>
          <w:pgMar w:top="1440" w:right="1440" w:bottom="1440" w:left="1440" w:header="708" w:footer="708" w:gutter="0"/>
          <w:cols w:space="708"/>
          <w:docGrid w:linePitch="360"/>
        </w:sectPr>
      </w:pPr>
    </w:p>
    <w:p w14:paraId="2DABC4BD" w14:textId="5C4F9522" w:rsidR="00125677" w:rsidRDefault="00125677" w:rsidP="00125677">
      <w:pPr>
        <w:pStyle w:val="Heading1"/>
        <w:numPr>
          <w:ilvl w:val="0"/>
          <w:numId w:val="0"/>
        </w:numPr>
        <w:ind w:left="720" w:hanging="720"/>
      </w:pPr>
      <w:bookmarkStart w:id="1" w:name="_Toc432520053"/>
      <w:bookmarkStart w:id="2" w:name="_Toc433041619"/>
      <w:bookmarkStart w:id="3" w:name="_Toc306978479"/>
      <w:bookmarkStart w:id="4" w:name="_Toc433145027"/>
      <w:bookmarkStart w:id="5" w:name="_Toc433190522"/>
      <w:bookmarkStart w:id="6" w:name="_Toc433197237"/>
      <w:bookmarkStart w:id="7" w:name="_Toc433213094"/>
      <w:bookmarkStart w:id="8" w:name="_Toc307070839"/>
      <w:bookmarkStart w:id="9" w:name="_Toc433216971"/>
      <w:bookmarkStart w:id="10" w:name="_Toc435180824"/>
      <w:bookmarkStart w:id="11" w:name="_Toc435187979"/>
      <w:bookmarkStart w:id="12" w:name="_Toc435198219"/>
      <w:bookmarkStart w:id="13" w:name="_Toc479157471"/>
      <w:bookmarkStart w:id="14" w:name="_Toc480382908"/>
      <w:bookmarkStart w:id="15" w:name="_Toc480382957"/>
      <w:bookmarkStart w:id="16" w:name="_Toc480401063"/>
      <w:bookmarkStart w:id="17" w:name="_Toc480448390"/>
      <w:bookmarkStart w:id="18" w:name="_Toc480475244"/>
      <w:bookmarkStart w:id="19" w:name="_Toc480476400"/>
      <w:bookmarkStart w:id="20" w:name="_Toc480546076"/>
      <w:bookmarkStart w:id="21" w:name="_Toc480549663"/>
      <w:bookmarkStart w:id="22" w:name="_Toc480553057"/>
      <w:bookmarkStart w:id="23" w:name="_Toc497836020"/>
      <w:bookmarkStart w:id="24" w:name="_Toc498093541"/>
      <w:bookmarkStart w:id="25" w:name="_Toc498094637"/>
      <w:bookmarkStart w:id="26" w:name="_Toc499825734"/>
      <w:bookmarkStart w:id="27" w:name="_Toc499827478"/>
      <w:bookmarkStart w:id="28" w:name="_Toc500074971"/>
      <w:bookmarkStart w:id="29" w:name="_Toc500077837"/>
      <w:bookmarkStart w:id="30" w:name="_Toc500179372"/>
      <w:bookmarkStart w:id="31" w:name="_Toc500445639"/>
      <w:bookmarkStart w:id="32" w:name="_Toc500503117"/>
      <w:bookmarkStart w:id="33" w:name="_Toc500508100"/>
      <w:bookmarkStart w:id="34" w:name="_Toc500512828"/>
      <w:bookmarkStart w:id="35" w:name="_Toc500517754"/>
      <w:bookmarkStart w:id="36" w:name="_Toc500519569"/>
      <w:bookmarkStart w:id="37" w:name="_Toc500524416"/>
      <w:bookmarkStart w:id="38" w:name="_Toc506417388"/>
      <w:bookmarkStart w:id="39" w:name="_Toc515359212"/>
      <w:r w:rsidRPr="00B943ED">
        <w:lastRenderedPageBreak/>
        <w:t>Acronyms and 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Style w:val="TableGridCEPA2"/>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37"/>
        <w:gridCol w:w="7179"/>
      </w:tblGrid>
      <w:tr w:rsidR="006141BE" w:rsidRPr="00A11B68" w14:paraId="08A7AB7A" w14:textId="77777777" w:rsidTr="006141BE">
        <w:trPr>
          <w:cnfStyle w:val="100000000000" w:firstRow="1" w:lastRow="0" w:firstColumn="0" w:lastColumn="0" w:oddVBand="0" w:evenVBand="0" w:oddHBand="0" w:evenHBand="0" w:firstRowFirstColumn="0" w:firstRowLastColumn="0" w:lastRowFirstColumn="0" w:lastRowLastColumn="0"/>
          <w:tblHeader/>
        </w:trPr>
        <w:tc>
          <w:tcPr>
            <w:tcW w:w="1019" w:type="pct"/>
            <w:shd w:val="solid" w:color="4186CD" w:fill="auto"/>
          </w:tcPr>
          <w:p w14:paraId="3008B238" w14:textId="77777777" w:rsidR="006141BE" w:rsidRPr="00932C07" w:rsidRDefault="006141BE" w:rsidP="006141BE">
            <w:pPr>
              <w:pStyle w:val="CEPATabletext"/>
              <w:rPr>
                <w:rFonts w:asciiTheme="minorHAnsi" w:hAnsiTheme="minorHAnsi" w:cstheme="minorHAnsi"/>
                <w:color w:val="FFFFFF" w:themeColor="background1"/>
                <w:szCs w:val="22"/>
              </w:rPr>
            </w:pPr>
            <w:r w:rsidRPr="00932C07">
              <w:rPr>
                <w:rFonts w:asciiTheme="minorHAnsi" w:hAnsiTheme="minorHAnsi" w:cstheme="minorHAnsi"/>
                <w:color w:val="FFFFFF" w:themeColor="background1"/>
                <w:szCs w:val="22"/>
              </w:rPr>
              <w:t>Acronym</w:t>
            </w:r>
          </w:p>
        </w:tc>
        <w:tc>
          <w:tcPr>
            <w:tcW w:w="3981" w:type="pct"/>
            <w:shd w:val="solid" w:color="4186CD" w:fill="auto"/>
          </w:tcPr>
          <w:p w14:paraId="58A9E449" w14:textId="77777777" w:rsidR="006141BE" w:rsidRPr="00932C07" w:rsidRDefault="006141BE" w:rsidP="006141BE">
            <w:pPr>
              <w:pStyle w:val="CEPATabletext"/>
              <w:rPr>
                <w:rFonts w:asciiTheme="minorHAnsi" w:hAnsiTheme="minorHAnsi" w:cstheme="minorHAnsi"/>
                <w:color w:val="FFFFFF" w:themeColor="background1"/>
                <w:szCs w:val="22"/>
              </w:rPr>
            </w:pPr>
            <w:r w:rsidRPr="00932C07">
              <w:rPr>
                <w:rFonts w:asciiTheme="minorHAnsi" w:hAnsiTheme="minorHAnsi" w:cstheme="minorHAnsi"/>
                <w:color w:val="FFFFFF" w:themeColor="background1"/>
                <w:szCs w:val="22"/>
              </w:rPr>
              <w:t>Full description</w:t>
            </w:r>
          </w:p>
        </w:tc>
      </w:tr>
      <w:tr w:rsidR="006141BE" w:rsidRPr="00A11B68" w14:paraId="0C2A06E2" w14:textId="77777777" w:rsidTr="006141BE">
        <w:tc>
          <w:tcPr>
            <w:tcW w:w="1019" w:type="pct"/>
          </w:tcPr>
          <w:p w14:paraId="236A0A77" w14:textId="77777777" w:rsidR="006141BE" w:rsidRPr="00F10F16" w:rsidRDefault="006141BE" w:rsidP="006141BE">
            <w:pPr>
              <w:pStyle w:val="CEPATabletext"/>
              <w:rPr>
                <w:rFonts w:asciiTheme="minorHAnsi" w:hAnsiTheme="minorHAnsi" w:cstheme="minorHAnsi"/>
                <w:color w:val="auto"/>
                <w:szCs w:val="22"/>
              </w:rPr>
            </w:pPr>
            <w:r w:rsidRPr="00F10F16">
              <w:rPr>
                <w:rFonts w:asciiTheme="minorHAnsi" w:hAnsiTheme="minorHAnsi" w:cstheme="minorHAnsi"/>
                <w:color w:val="auto"/>
                <w:szCs w:val="22"/>
              </w:rPr>
              <w:t>ART</w:t>
            </w:r>
          </w:p>
        </w:tc>
        <w:tc>
          <w:tcPr>
            <w:tcW w:w="3981" w:type="pct"/>
          </w:tcPr>
          <w:p w14:paraId="362031FA" w14:textId="77777777" w:rsidR="006141BE" w:rsidRPr="00F10F16" w:rsidRDefault="006141BE" w:rsidP="006141BE">
            <w:pPr>
              <w:pStyle w:val="CEPATabletext"/>
              <w:rPr>
                <w:rFonts w:asciiTheme="minorHAnsi" w:hAnsiTheme="minorHAnsi" w:cstheme="minorHAnsi"/>
                <w:color w:val="auto"/>
                <w:szCs w:val="22"/>
              </w:rPr>
            </w:pPr>
            <w:r w:rsidRPr="00F10F16">
              <w:rPr>
                <w:rFonts w:asciiTheme="minorHAnsi" w:hAnsiTheme="minorHAnsi" w:cstheme="minorHAnsi"/>
                <w:color w:val="auto"/>
                <w:szCs w:val="22"/>
              </w:rPr>
              <w:t>Antiretroviral Therapy</w:t>
            </w:r>
          </w:p>
        </w:tc>
      </w:tr>
      <w:tr w:rsidR="00DD0F9E" w:rsidRPr="00A11B68" w14:paraId="3A9E97F0" w14:textId="77777777" w:rsidTr="006141BE">
        <w:tc>
          <w:tcPr>
            <w:tcW w:w="1019" w:type="pct"/>
          </w:tcPr>
          <w:p w14:paraId="76D2AB2B" w14:textId="1ABAA651" w:rsidR="00DD0F9E" w:rsidRPr="00846486" w:rsidRDefault="00DD0F9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BM</w:t>
            </w:r>
          </w:p>
        </w:tc>
        <w:tc>
          <w:tcPr>
            <w:tcW w:w="3981" w:type="pct"/>
          </w:tcPr>
          <w:p w14:paraId="0AFD8331" w14:textId="4689727A" w:rsidR="00DD0F9E" w:rsidRPr="00846486" w:rsidRDefault="00AE3CB7"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B</w:t>
            </w:r>
            <w:r w:rsidR="00980681" w:rsidRPr="007A13A1">
              <w:rPr>
                <w:rFonts w:asciiTheme="minorHAnsi" w:hAnsiTheme="minorHAnsi" w:cstheme="minorHAnsi"/>
                <w:color w:val="auto"/>
                <w:szCs w:val="22"/>
              </w:rPr>
              <w:t>ioMérieux</w:t>
            </w:r>
          </w:p>
        </w:tc>
      </w:tr>
      <w:tr w:rsidR="00EC09BA" w:rsidRPr="00A11B68" w14:paraId="61C84B4E" w14:textId="77777777" w:rsidTr="006141BE">
        <w:tc>
          <w:tcPr>
            <w:tcW w:w="1019" w:type="pct"/>
          </w:tcPr>
          <w:p w14:paraId="7B34D1AC" w14:textId="0A715E2D" w:rsidR="00EC09BA" w:rsidRPr="00846486" w:rsidRDefault="00EC09BA"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CAG</w:t>
            </w:r>
          </w:p>
        </w:tc>
        <w:tc>
          <w:tcPr>
            <w:tcW w:w="3981" w:type="pct"/>
          </w:tcPr>
          <w:p w14:paraId="345CA8E6" w14:textId="2C410B4A" w:rsidR="00EC09BA" w:rsidRPr="00846486" w:rsidRDefault="00EC09BA"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 xml:space="preserve">Community </w:t>
            </w:r>
            <w:r w:rsidR="00D322A2" w:rsidRPr="007A13A1">
              <w:rPr>
                <w:rFonts w:asciiTheme="minorHAnsi" w:hAnsiTheme="minorHAnsi" w:cstheme="minorHAnsi"/>
                <w:color w:val="auto"/>
                <w:szCs w:val="22"/>
              </w:rPr>
              <w:t>ART Group</w:t>
            </w:r>
          </w:p>
        </w:tc>
      </w:tr>
      <w:tr w:rsidR="006141BE" w:rsidRPr="00A11B68" w14:paraId="6DD79A42" w14:textId="77777777" w:rsidTr="006141BE">
        <w:tc>
          <w:tcPr>
            <w:tcW w:w="1019" w:type="pct"/>
          </w:tcPr>
          <w:p w14:paraId="4356D562"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CCM</w:t>
            </w:r>
          </w:p>
        </w:tc>
        <w:tc>
          <w:tcPr>
            <w:tcW w:w="3981" w:type="pct"/>
          </w:tcPr>
          <w:p w14:paraId="7544DCCD" w14:textId="77777777" w:rsidR="006141BE" w:rsidRPr="007A13A1"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Country Coordinating Mechanism</w:t>
            </w:r>
          </w:p>
        </w:tc>
      </w:tr>
      <w:tr w:rsidR="006141BE" w:rsidRPr="00A11B68" w14:paraId="765D39D9" w14:textId="77777777" w:rsidTr="006141BE">
        <w:tc>
          <w:tcPr>
            <w:tcW w:w="1019" w:type="pct"/>
          </w:tcPr>
          <w:p w14:paraId="09B4EB8B"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CHAI</w:t>
            </w:r>
          </w:p>
        </w:tc>
        <w:tc>
          <w:tcPr>
            <w:tcW w:w="3981" w:type="pct"/>
          </w:tcPr>
          <w:p w14:paraId="7CBCE9AB" w14:textId="43F85785" w:rsidR="006141BE" w:rsidRPr="007A13A1"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Clinton Health Access Initiative</w:t>
            </w:r>
          </w:p>
        </w:tc>
      </w:tr>
      <w:tr w:rsidR="006141BE" w:rsidRPr="00A11B68" w14:paraId="75C14130" w14:textId="77777777" w:rsidTr="006141BE">
        <w:tc>
          <w:tcPr>
            <w:tcW w:w="1019" w:type="pct"/>
          </w:tcPr>
          <w:p w14:paraId="71812ABF"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CSO</w:t>
            </w:r>
          </w:p>
        </w:tc>
        <w:tc>
          <w:tcPr>
            <w:tcW w:w="3981" w:type="pct"/>
          </w:tcPr>
          <w:p w14:paraId="0351D767" w14:textId="77777777" w:rsidR="006141BE" w:rsidRPr="007A13A1"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Civil Society Organisation</w:t>
            </w:r>
          </w:p>
        </w:tc>
      </w:tr>
      <w:tr w:rsidR="006141BE" w:rsidRPr="00A11B68" w14:paraId="730C2800" w14:textId="77777777" w:rsidTr="006141BE">
        <w:tc>
          <w:tcPr>
            <w:tcW w:w="1019" w:type="pct"/>
          </w:tcPr>
          <w:p w14:paraId="7A7B6436"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DRC</w:t>
            </w:r>
          </w:p>
        </w:tc>
        <w:tc>
          <w:tcPr>
            <w:tcW w:w="3981" w:type="pct"/>
          </w:tcPr>
          <w:p w14:paraId="6AC06C6B" w14:textId="29426BC6" w:rsidR="006141BE" w:rsidRPr="007A13A1"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Democratic Republic of the Congo</w:t>
            </w:r>
          </w:p>
        </w:tc>
      </w:tr>
      <w:tr w:rsidR="00905BBC" w:rsidRPr="00631353" w14:paraId="1095335A" w14:textId="77777777" w:rsidTr="006141BE">
        <w:tc>
          <w:tcPr>
            <w:tcW w:w="1019" w:type="pct"/>
          </w:tcPr>
          <w:p w14:paraId="65C09AA6" w14:textId="742430CA" w:rsidR="00905BBC" w:rsidRPr="00846486" w:rsidRDefault="00905BBC"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DRW</w:t>
            </w:r>
          </w:p>
        </w:tc>
        <w:tc>
          <w:tcPr>
            <w:tcW w:w="3981" w:type="pct"/>
          </w:tcPr>
          <w:p w14:paraId="28F9C206" w14:textId="3138BFA6" w:rsidR="00905BBC" w:rsidRPr="00846486" w:rsidRDefault="00905BBC" w:rsidP="006141BE">
            <w:pPr>
              <w:pStyle w:val="CEPATabletext"/>
              <w:rPr>
                <w:rFonts w:asciiTheme="minorHAnsi" w:hAnsiTheme="minorHAnsi" w:cstheme="minorHAnsi"/>
                <w:color w:val="auto"/>
                <w:szCs w:val="22"/>
              </w:rPr>
            </w:pPr>
            <w:r w:rsidRPr="00846486">
              <w:rPr>
                <w:rFonts w:asciiTheme="minorHAnsi" w:hAnsiTheme="minorHAnsi" w:cstheme="minorHAnsi"/>
                <w:color w:val="auto"/>
                <w:szCs w:val="22"/>
              </w:rPr>
              <w:t>Diagnostics for the Real World</w:t>
            </w:r>
          </w:p>
        </w:tc>
      </w:tr>
      <w:tr w:rsidR="00631353" w:rsidRPr="00631353" w14:paraId="6E516024" w14:textId="77777777" w:rsidTr="006141BE">
        <w:tc>
          <w:tcPr>
            <w:tcW w:w="1019" w:type="pct"/>
          </w:tcPr>
          <w:p w14:paraId="1F735168" w14:textId="75F6B23F" w:rsidR="00C15630" w:rsidRPr="00631353" w:rsidRDefault="00C15630"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EAC</w:t>
            </w:r>
          </w:p>
        </w:tc>
        <w:tc>
          <w:tcPr>
            <w:tcW w:w="3981" w:type="pct"/>
          </w:tcPr>
          <w:p w14:paraId="2606CF74" w14:textId="5424523D" w:rsidR="00C15630" w:rsidRPr="007A13A1" w:rsidRDefault="00C15630"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Early Adherence Counselling</w:t>
            </w:r>
          </w:p>
        </w:tc>
      </w:tr>
      <w:tr w:rsidR="006141BE" w:rsidRPr="00A11B68" w14:paraId="7E669E09" w14:textId="77777777" w:rsidTr="006141BE">
        <w:tc>
          <w:tcPr>
            <w:tcW w:w="1019" w:type="pct"/>
          </w:tcPr>
          <w:p w14:paraId="34676DC1"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EID</w:t>
            </w:r>
          </w:p>
        </w:tc>
        <w:tc>
          <w:tcPr>
            <w:tcW w:w="3981" w:type="pct"/>
          </w:tcPr>
          <w:p w14:paraId="7EEA525C" w14:textId="77777777" w:rsidR="006141BE" w:rsidRPr="007A13A1"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Early Infant Diagnosis</w:t>
            </w:r>
          </w:p>
        </w:tc>
      </w:tr>
      <w:tr w:rsidR="006141BE" w:rsidRPr="00A11B68" w14:paraId="45625D90" w14:textId="77777777" w:rsidTr="006141BE">
        <w:tc>
          <w:tcPr>
            <w:tcW w:w="1019" w:type="pct"/>
          </w:tcPr>
          <w:p w14:paraId="41C9C0F8"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ERPD</w:t>
            </w:r>
          </w:p>
        </w:tc>
        <w:tc>
          <w:tcPr>
            <w:tcW w:w="3981" w:type="pct"/>
          </w:tcPr>
          <w:p w14:paraId="73FCD41D"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Expert Review Panel for Diagnostics</w:t>
            </w:r>
          </w:p>
        </w:tc>
      </w:tr>
      <w:tr w:rsidR="00EB27A5" w:rsidRPr="00A11B68" w14:paraId="45191CE7" w14:textId="77777777" w:rsidTr="006141BE">
        <w:tc>
          <w:tcPr>
            <w:tcW w:w="1019" w:type="pct"/>
          </w:tcPr>
          <w:p w14:paraId="7CAB86DB" w14:textId="163B3386" w:rsidR="00EB27A5" w:rsidRPr="00846486" w:rsidRDefault="00EB27A5" w:rsidP="006141BE">
            <w:pPr>
              <w:pStyle w:val="CEPATabletext"/>
              <w:tabs>
                <w:tab w:val="left" w:pos="1373"/>
              </w:tabs>
              <w:rPr>
                <w:rFonts w:asciiTheme="minorHAnsi" w:hAnsiTheme="minorHAnsi" w:cstheme="minorHAnsi"/>
                <w:color w:val="auto"/>
                <w:szCs w:val="22"/>
              </w:rPr>
            </w:pPr>
            <w:r w:rsidRPr="007A13A1">
              <w:rPr>
                <w:rFonts w:asciiTheme="minorHAnsi" w:hAnsiTheme="minorHAnsi" w:cstheme="minorHAnsi"/>
                <w:color w:val="auto"/>
                <w:szCs w:val="22"/>
              </w:rPr>
              <w:t>HCW</w:t>
            </w:r>
          </w:p>
        </w:tc>
        <w:tc>
          <w:tcPr>
            <w:tcW w:w="3981" w:type="pct"/>
          </w:tcPr>
          <w:p w14:paraId="5B6176D8" w14:textId="28BC2489" w:rsidR="00EB27A5" w:rsidRPr="00846486" w:rsidRDefault="00EB27A5"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Healthcare worker</w:t>
            </w:r>
          </w:p>
        </w:tc>
      </w:tr>
      <w:tr w:rsidR="00745325" w:rsidRPr="00A11B68" w14:paraId="1326B9A5" w14:textId="77777777" w:rsidTr="006141BE">
        <w:tc>
          <w:tcPr>
            <w:tcW w:w="1019" w:type="pct"/>
          </w:tcPr>
          <w:p w14:paraId="7811E41C" w14:textId="7DDBB31F" w:rsidR="00745325" w:rsidRPr="00846486" w:rsidRDefault="00745325" w:rsidP="006141BE">
            <w:pPr>
              <w:pStyle w:val="CEPATabletext"/>
              <w:tabs>
                <w:tab w:val="left" w:pos="1373"/>
              </w:tabs>
              <w:rPr>
                <w:rFonts w:asciiTheme="minorHAnsi" w:hAnsiTheme="minorHAnsi" w:cstheme="minorHAnsi"/>
                <w:color w:val="auto"/>
                <w:szCs w:val="22"/>
              </w:rPr>
            </w:pPr>
            <w:r w:rsidRPr="007A13A1">
              <w:rPr>
                <w:rFonts w:asciiTheme="minorHAnsi" w:hAnsiTheme="minorHAnsi" w:cstheme="minorHAnsi"/>
                <w:color w:val="auto"/>
                <w:szCs w:val="22"/>
              </w:rPr>
              <w:t>ITPC</w:t>
            </w:r>
          </w:p>
        </w:tc>
        <w:tc>
          <w:tcPr>
            <w:tcW w:w="3981" w:type="pct"/>
          </w:tcPr>
          <w:p w14:paraId="6168F909" w14:textId="789A0851" w:rsidR="00745325" w:rsidRPr="00846486" w:rsidRDefault="00EB27A5"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International Treatment Preparedness Coalition</w:t>
            </w:r>
          </w:p>
        </w:tc>
      </w:tr>
      <w:tr w:rsidR="006141BE" w:rsidRPr="00A11B68" w14:paraId="5627F94D" w14:textId="77777777" w:rsidTr="006141BE">
        <w:tc>
          <w:tcPr>
            <w:tcW w:w="1019" w:type="pct"/>
          </w:tcPr>
          <w:p w14:paraId="69AC2F0F" w14:textId="77777777" w:rsidR="006141BE" w:rsidRPr="00F10F16" w:rsidRDefault="006141BE" w:rsidP="006141BE">
            <w:pPr>
              <w:pStyle w:val="CEPATabletext"/>
              <w:tabs>
                <w:tab w:val="left" w:pos="1373"/>
              </w:tabs>
              <w:rPr>
                <w:rFonts w:asciiTheme="minorHAnsi" w:hAnsiTheme="minorHAnsi" w:cstheme="minorHAnsi"/>
                <w:color w:val="auto"/>
                <w:szCs w:val="22"/>
              </w:rPr>
            </w:pPr>
            <w:r w:rsidRPr="007A13A1">
              <w:rPr>
                <w:rFonts w:asciiTheme="minorHAnsi" w:hAnsiTheme="minorHAnsi" w:cstheme="minorHAnsi"/>
                <w:color w:val="auto"/>
                <w:szCs w:val="22"/>
              </w:rPr>
              <w:t>KPI</w:t>
            </w:r>
          </w:p>
        </w:tc>
        <w:tc>
          <w:tcPr>
            <w:tcW w:w="3981" w:type="pct"/>
          </w:tcPr>
          <w:p w14:paraId="0D9632CF"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Key Performance Indicator</w:t>
            </w:r>
          </w:p>
        </w:tc>
      </w:tr>
      <w:tr w:rsidR="00394833" w:rsidRPr="00A11B68" w14:paraId="4BD11498" w14:textId="77777777" w:rsidTr="006141BE">
        <w:tc>
          <w:tcPr>
            <w:tcW w:w="1019" w:type="pct"/>
          </w:tcPr>
          <w:p w14:paraId="2B29D3A8" w14:textId="753E7750" w:rsidR="00394833" w:rsidRPr="00846486" w:rsidRDefault="00394833"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LTFU</w:t>
            </w:r>
          </w:p>
        </w:tc>
        <w:tc>
          <w:tcPr>
            <w:tcW w:w="3981" w:type="pct"/>
          </w:tcPr>
          <w:p w14:paraId="7EA99BF5" w14:textId="1C822F6A" w:rsidR="00394833" w:rsidRPr="00846486" w:rsidRDefault="00394833"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L</w:t>
            </w:r>
            <w:r w:rsidR="00970DD4" w:rsidRPr="007A13A1">
              <w:rPr>
                <w:rFonts w:asciiTheme="minorHAnsi" w:hAnsiTheme="minorHAnsi" w:cstheme="minorHAnsi"/>
                <w:color w:val="auto"/>
                <w:szCs w:val="22"/>
              </w:rPr>
              <w:t>ost</w:t>
            </w:r>
            <w:r w:rsidRPr="007A13A1">
              <w:rPr>
                <w:rFonts w:asciiTheme="minorHAnsi" w:hAnsiTheme="minorHAnsi" w:cstheme="minorHAnsi"/>
                <w:color w:val="auto"/>
                <w:szCs w:val="22"/>
              </w:rPr>
              <w:t xml:space="preserve"> to Follow</w:t>
            </w:r>
            <w:r w:rsidR="00733917" w:rsidRPr="007A13A1">
              <w:rPr>
                <w:rFonts w:asciiTheme="minorHAnsi" w:hAnsiTheme="minorHAnsi" w:cstheme="minorHAnsi"/>
                <w:color w:val="auto"/>
                <w:szCs w:val="22"/>
              </w:rPr>
              <w:t>-</w:t>
            </w:r>
            <w:r w:rsidRPr="007A13A1">
              <w:rPr>
                <w:rFonts w:asciiTheme="minorHAnsi" w:hAnsiTheme="minorHAnsi" w:cstheme="minorHAnsi"/>
                <w:color w:val="auto"/>
                <w:szCs w:val="22"/>
              </w:rPr>
              <w:t>Up</w:t>
            </w:r>
          </w:p>
        </w:tc>
      </w:tr>
      <w:tr w:rsidR="006141BE" w:rsidRPr="00A11B68" w14:paraId="504080CA" w14:textId="77777777" w:rsidTr="006141BE">
        <w:tc>
          <w:tcPr>
            <w:tcW w:w="1019" w:type="pct"/>
          </w:tcPr>
          <w:p w14:paraId="38F60A60"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M&amp;E</w:t>
            </w:r>
          </w:p>
        </w:tc>
        <w:tc>
          <w:tcPr>
            <w:tcW w:w="3981" w:type="pct"/>
          </w:tcPr>
          <w:p w14:paraId="51F8C8E9"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Monitoring and Evaluation</w:t>
            </w:r>
          </w:p>
        </w:tc>
      </w:tr>
      <w:tr w:rsidR="007D1D41" w:rsidRPr="00A11B68" w14:paraId="7DB20E3B" w14:textId="77777777" w:rsidTr="006141BE">
        <w:tc>
          <w:tcPr>
            <w:tcW w:w="1019" w:type="pct"/>
          </w:tcPr>
          <w:p w14:paraId="2D66F2B0" w14:textId="53E14C29" w:rsidR="007D1D41" w:rsidRPr="00846486" w:rsidRDefault="007D1D41"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MOH</w:t>
            </w:r>
          </w:p>
        </w:tc>
        <w:tc>
          <w:tcPr>
            <w:tcW w:w="3981" w:type="pct"/>
          </w:tcPr>
          <w:p w14:paraId="6179189C" w14:textId="135B4404" w:rsidR="007D1D41" w:rsidRPr="00846486" w:rsidRDefault="003762AA"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Ministry of Health</w:t>
            </w:r>
          </w:p>
        </w:tc>
      </w:tr>
      <w:tr w:rsidR="00864EC6" w:rsidRPr="00A11B68" w14:paraId="0E6FE1D9" w14:textId="77777777" w:rsidTr="006141BE">
        <w:tc>
          <w:tcPr>
            <w:tcW w:w="1019" w:type="pct"/>
          </w:tcPr>
          <w:p w14:paraId="657D1665" w14:textId="7B54D3B3" w:rsidR="00864EC6" w:rsidRPr="00846486" w:rsidRDefault="00864EC6"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MOU</w:t>
            </w:r>
          </w:p>
        </w:tc>
        <w:tc>
          <w:tcPr>
            <w:tcW w:w="3981" w:type="pct"/>
          </w:tcPr>
          <w:p w14:paraId="0AD0FC68" w14:textId="5ED35B30" w:rsidR="00864EC6" w:rsidRPr="00846486" w:rsidRDefault="00864EC6"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Memorandum of Understanding</w:t>
            </w:r>
          </w:p>
        </w:tc>
      </w:tr>
      <w:tr w:rsidR="006141BE" w:rsidRPr="00A11B68" w14:paraId="742D20F8" w14:textId="77777777" w:rsidTr="006141BE">
        <w:tc>
          <w:tcPr>
            <w:tcW w:w="1019" w:type="pct"/>
          </w:tcPr>
          <w:p w14:paraId="55999FAC"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MSF</w:t>
            </w:r>
          </w:p>
        </w:tc>
        <w:tc>
          <w:tcPr>
            <w:tcW w:w="3981" w:type="pct"/>
          </w:tcPr>
          <w:p w14:paraId="018F5E9B"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Médecins Sans Frontières</w:t>
            </w:r>
          </w:p>
        </w:tc>
      </w:tr>
      <w:tr w:rsidR="00F54A8D" w:rsidRPr="00A11B68" w14:paraId="2AEAE120" w14:textId="77777777" w:rsidTr="006141BE">
        <w:tc>
          <w:tcPr>
            <w:tcW w:w="1019" w:type="pct"/>
          </w:tcPr>
          <w:p w14:paraId="15AA9590" w14:textId="64D73B55" w:rsidR="00F54A8D" w:rsidRPr="00846486" w:rsidRDefault="00F54A8D"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OCB</w:t>
            </w:r>
          </w:p>
        </w:tc>
        <w:tc>
          <w:tcPr>
            <w:tcW w:w="3981" w:type="pct"/>
          </w:tcPr>
          <w:p w14:paraId="4C386797" w14:textId="1868A357" w:rsidR="00F54A8D" w:rsidRPr="00846486" w:rsidRDefault="00BC6B8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 xml:space="preserve">MSF </w:t>
            </w:r>
            <w:r w:rsidR="003115D9" w:rsidRPr="007A13A1">
              <w:rPr>
                <w:rFonts w:asciiTheme="minorHAnsi" w:hAnsiTheme="minorHAnsi" w:cstheme="minorHAnsi"/>
                <w:color w:val="auto"/>
                <w:szCs w:val="22"/>
              </w:rPr>
              <w:t>Operational Centre Brussels</w:t>
            </w:r>
          </w:p>
        </w:tc>
      </w:tr>
      <w:tr w:rsidR="00F54A8D" w:rsidRPr="00A11B68" w14:paraId="2B727A2B" w14:textId="77777777" w:rsidTr="006141BE">
        <w:tc>
          <w:tcPr>
            <w:tcW w:w="1019" w:type="pct"/>
          </w:tcPr>
          <w:p w14:paraId="1FE7C562" w14:textId="25E447C9" w:rsidR="00F54A8D" w:rsidRPr="00846486" w:rsidRDefault="00F54A8D"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OCG</w:t>
            </w:r>
          </w:p>
        </w:tc>
        <w:tc>
          <w:tcPr>
            <w:tcW w:w="3981" w:type="pct"/>
          </w:tcPr>
          <w:p w14:paraId="198C0397" w14:textId="4DD73685" w:rsidR="00F54A8D" w:rsidRPr="00846486" w:rsidRDefault="00BC6B8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 xml:space="preserve">MSF </w:t>
            </w:r>
            <w:r w:rsidR="003115D9" w:rsidRPr="007A13A1">
              <w:rPr>
                <w:rFonts w:asciiTheme="minorHAnsi" w:hAnsiTheme="minorHAnsi" w:cstheme="minorHAnsi"/>
                <w:color w:val="auto"/>
                <w:szCs w:val="22"/>
              </w:rPr>
              <w:t>Operational Centre Geneva</w:t>
            </w:r>
          </w:p>
        </w:tc>
      </w:tr>
      <w:tr w:rsidR="00F54A8D" w:rsidRPr="00A11B68" w14:paraId="52B484D0" w14:textId="77777777" w:rsidTr="006141BE">
        <w:tc>
          <w:tcPr>
            <w:tcW w:w="1019" w:type="pct"/>
          </w:tcPr>
          <w:p w14:paraId="56C7C8A2" w14:textId="55754549" w:rsidR="00F54A8D" w:rsidRPr="00846486" w:rsidRDefault="00F54A8D"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OCP</w:t>
            </w:r>
          </w:p>
        </w:tc>
        <w:tc>
          <w:tcPr>
            <w:tcW w:w="3981" w:type="pct"/>
          </w:tcPr>
          <w:p w14:paraId="4968C0AD" w14:textId="53798A09" w:rsidR="00F54A8D" w:rsidRPr="00846486" w:rsidRDefault="00BC6B8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 xml:space="preserve">MSF </w:t>
            </w:r>
            <w:r w:rsidR="003115D9" w:rsidRPr="007A13A1">
              <w:rPr>
                <w:rFonts w:asciiTheme="minorHAnsi" w:hAnsiTheme="minorHAnsi" w:cstheme="minorHAnsi"/>
                <w:color w:val="auto"/>
                <w:szCs w:val="22"/>
              </w:rPr>
              <w:t>Operational Centre Paris</w:t>
            </w:r>
          </w:p>
        </w:tc>
      </w:tr>
      <w:tr w:rsidR="006141BE" w:rsidRPr="00A11B68" w14:paraId="7130ED51" w14:textId="77777777" w:rsidTr="006141BE">
        <w:tc>
          <w:tcPr>
            <w:tcW w:w="1019" w:type="pct"/>
          </w:tcPr>
          <w:p w14:paraId="36A72FE8"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PEPFAR</w:t>
            </w:r>
          </w:p>
        </w:tc>
        <w:tc>
          <w:tcPr>
            <w:tcW w:w="3981" w:type="pct"/>
          </w:tcPr>
          <w:p w14:paraId="46E59925"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U.S. President's Emergency Plan for AIDS Relief</w:t>
            </w:r>
          </w:p>
        </w:tc>
      </w:tr>
      <w:tr w:rsidR="00715F16" w:rsidRPr="00715F16" w14:paraId="313B9D6D" w14:textId="77777777" w:rsidTr="006141BE">
        <w:tc>
          <w:tcPr>
            <w:tcW w:w="1019" w:type="pct"/>
          </w:tcPr>
          <w:p w14:paraId="032F900E" w14:textId="2C703995" w:rsidR="00B55E9C" w:rsidRPr="00715F16" w:rsidRDefault="00B55E9C"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PLHIV</w:t>
            </w:r>
            <w:r w:rsidRPr="007A13A1">
              <w:rPr>
                <w:rFonts w:asciiTheme="minorHAnsi" w:hAnsiTheme="minorHAnsi" w:cstheme="minorHAnsi"/>
                <w:color w:val="auto"/>
                <w:szCs w:val="22"/>
              </w:rPr>
              <w:tab/>
            </w:r>
          </w:p>
        </w:tc>
        <w:tc>
          <w:tcPr>
            <w:tcW w:w="3981" w:type="pct"/>
          </w:tcPr>
          <w:p w14:paraId="52B62879" w14:textId="0DD02BC9" w:rsidR="00B55E9C" w:rsidRPr="00715F16" w:rsidRDefault="00B55E9C"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People living with HIV/AIDS</w:t>
            </w:r>
          </w:p>
        </w:tc>
      </w:tr>
      <w:tr w:rsidR="006141BE" w:rsidRPr="00A11B68" w14:paraId="378BB005" w14:textId="77777777" w:rsidTr="006141BE">
        <w:tc>
          <w:tcPr>
            <w:tcW w:w="1019" w:type="pct"/>
          </w:tcPr>
          <w:p w14:paraId="5E9B5A7A"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POC</w:t>
            </w:r>
          </w:p>
        </w:tc>
        <w:tc>
          <w:tcPr>
            <w:tcW w:w="3981" w:type="pct"/>
          </w:tcPr>
          <w:p w14:paraId="08EAECD0" w14:textId="535AE01D"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Point</w:t>
            </w:r>
            <w:r w:rsidR="00516683" w:rsidRPr="007A13A1">
              <w:rPr>
                <w:rFonts w:asciiTheme="minorHAnsi" w:hAnsiTheme="minorHAnsi" w:cstheme="minorHAnsi"/>
                <w:color w:val="auto"/>
                <w:szCs w:val="22"/>
              </w:rPr>
              <w:t>-</w:t>
            </w:r>
            <w:r w:rsidRPr="007A13A1">
              <w:rPr>
                <w:rFonts w:asciiTheme="minorHAnsi" w:hAnsiTheme="minorHAnsi" w:cstheme="minorHAnsi"/>
                <w:color w:val="auto"/>
                <w:szCs w:val="22"/>
              </w:rPr>
              <w:t>of</w:t>
            </w:r>
            <w:r w:rsidR="00516683" w:rsidRPr="007A13A1">
              <w:rPr>
                <w:rFonts w:asciiTheme="minorHAnsi" w:hAnsiTheme="minorHAnsi" w:cstheme="minorHAnsi"/>
                <w:color w:val="auto"/>
                <w:szCs w:val="22"/>
              </w:rPr>
              <w:t>-</w:t>
            </w:r>
            <w:r w:rsidRPr="007A13A1">
              <w:rPr>
                <w:rFonts w:asciiTheme="minorHAnsi" w:hAnsiTheme="minorHAnsi" w:cstheme="minorHAnsi"/>
                <w:color w:val="auto"/>
                <w:szCs w:val="22"/>
              </w:rPr>
              <w:t>Care</w:t>
            </w:r>
          </w:p>
        </w:tc>
      </w:tr>
      <w:tr w:rsidR="00394833" w:rsidRPr="00A11B68" w14:paraId="19ECA56C" w14:textId="77777777" w:rsidTr="006141BE">
        <w:tc>
          <w:tcPr>
            <w:tcW w:w="1019" w:type="pct"/>
            <w:shd w:val="clear" w:color="auto" w:fill="auto"/>
          </w:tcPr>
          <w:p w14:paraId="19F57AB8" w14:textId="4BF9718A" w:rsidR="00394833" w:rsidRPr="00846486" w:rsidRDefault="00394833"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TAT</w:t>
            </w:r>
          </w:p>
        </w:tc>
        <w:tc>
          <w:tcPr>
            <w:tcW w:w="3981" w:type="pct"/>
            <w:shd w:val="clear" w:color="auto" w:fill="auto"/>
          </w:tcPr>
          <w:p w14:paraId="7971B2FE" w14:textId="04F84AAE" w:rsidR="00394833" w:rsidRPr="00846486" w:rsidRDefault="00394833"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Turnaround Time</w:t>
            </w:r>
          </w:p>
        </w:tc>
      </w:tr>
      <w:tr w:rsidR="00A72586" w:rsidRPr="00A72586" w14:paraId="6DF111A7" w14:textId="77777777" w:rsidTr="006141BE">
        <w:tc>
          <w:tcPr>
            <w:tcW w:w="1019" w:type="pct"/>
            <w:shd w:val="clear" w:color="auto" w:fill="auto"/>
          </w:tcPr>
          <w:p w14:paraId="4A07FEF7" w14:textId="62D74A9F" w:rsidR="00490AC1" w:rsidRPr="00A72586" w:rsidRDefault="00490AC1" w:rsidP="006141BE">
            <w:pPr>
              <w:pStyle w:val="CEPATabletext"/>
              <w:rPr>
                <w:rFonts w:asciiTheme="minorHAnsi" w:hAnsiTheme="minorHAnsi" w:cstheme="minorHAnsi"/>
                <w:color w:val="auto"/>
                <w:szCs w:val="22"/>
              </w:rPr>
            </w:pPr>
            <w:r w:rsidRPr="00A72586">
              <w:rPr>
                <w:rFonts w:asciiTheme="minorHAnsi" w:hAnsiTheme="minorHAnsi" w:cstheme="minorHAnsi"/>
                <w:color w:val="auto"/>
                <w:szCs w:val="22"/>
              </w:rPr>
              <w:t>TWG</w:t>
            </w:r>
          </w:p>
        </w:tc>
        <w:tc>
          <w:tcPr>
            <w:tcW w:w="3981" w:type="pct"/>
            <w:shd w:val="clear" w:color="auto" w:fill="auto"/>
          </w:tcPr>
          <w:p w14:paraId="2FCD3182" w14:textId="6A66F77E" w:rsidR="00490AC1" w:rsidRPr="00A72586" w:rsidRDefault="00490AC1" w:rsidP="006141BE">
            <w:pPr>
              <w:pStyle w:val="CEPATabletext"/>
              <w:rPr>
                <w:rFonts w:asciiTheme="minorHAnsi" w:hAnsiTheme="minorHAnsi" w:cstheme="minorHAnsi"/>
                <w:color w:val="auto"/>
                <w:szCs w:val="22"/>
              </w:rPr>
            </w:pPr>
            <w:r w:rsidRPr="00A72586">
              <w:rPr>
                <w:rFonts w:asciiTheme="minorHAnsi" w:hAnsiTheme="minorHAnsi" w:cstheme="minorHAnsi"/>
                <w:color w:val="auto"/>
                <w:szCs w:val="22"/>
              </w:rPr>
              <w:t>Technical Working Group</w:t>
            </w:r>
          </w:p>
        </w:tc>
      </w:tr>
      <w:tr w:rsidR="006141BE" w:rsidRPr="00A11B68" w14:paraId="796FF234" w14:textId="77777777" w:rsidTr="006141BE">
        <w:tc>
          <w:tcPr>
            <w:tcW w:w="1019" w:type="pct"/>
            <w:shd w:val="clear" w:color="auto" w:fill="auto"/>
          </w:tcPr>
          <w:p w14:paraId="3D29B9A9"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UNAIDS</w:t>
            </w:r>
          </w:p>
        </w:tc>
        <w:tc>
          <w:tcPr>
            <w:tcW w:w="3981" w:type="pct"/>
            <w:shd w:val="clear" w:color="auto" w:fill="auto"/>
          </w:tcPr>
          <w:p w14:paraId="04C44AA3"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Joint United Nations Programme on HIV and AIDS</w:t>
            </w:r>
          </w:p>
        </w:tc>
      </w:tr>
      <w:tr w:rsidR="006141BE" w:rsidRPr="00A11B68" w14:paraId="65CB6430" w14:textId="77777777" w:rsidTr="006141BE">
        <w:tc>
          <w:tcPr>
            <w:tcW w:w="1019" w:type="pct"/>
          </w:tcPr>
          <w:p w14:paraId="56ABAE6C"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VL</w:t>
            </w:r>
          </w:p>
        </w:tc>
        <w:tc>
          <w:tcPr>
            <w:tcW w:w="3981" w:type="pct"/>
          </w:tcPr>
          <w:p w14:paraId="134F570E"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Viral Load</w:t>
            </w:r>
          </w:p>
        </w:tc>
      </w:tr>
      <w:tr w:rsidR="006141BE" w:rsidRPr="00A11B68" w14:paraId="4354A84A" w14:textId="77777777" w:rsidTr="006141BE">
        <w:tc>
          <w:tcPr>
            <w:tcW w:w="1019" w:type="pct"/>
          </w:tcPr>
          <w:p w14:paraId="46CF76CE"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 xml:space="preserve">WHO </w:t>
            </w:r>
          </w:p>
        </w:tc>
        <w:tc>
          <w:tcPr>
            <w:tcW w:w="3981" w:type="pct"/>
          </w:tcPr>
          <w:p w14:paraId="200D8FDC"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 xml:space="preserve">World Health Organization </w:t>
            </w:r>
          </w:p>
        </w:tc>
      </w:tr>
      <w:tr w:rsidR="006141BE" w:rsidRPr="00A11B68" w14:paraId="4BFF5E5B" w14:textId="77777777" w:rsidTr="006141BE">
        <w:tc>
          <w:tcPr>
            <w:tcW w:w="1019" w:type="pct"/>
          </w:tcPr>
          <w:p w14:paraId="21C8EFA8"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WHO PQ</w:t>
            </w:r>
          </w:p>
        </w:tc>
        <w:tc>
          <w:tcPr>
            <w:tcW w:w="3981" w:type="pct"/>
          </w:tcPr>
          <w:p w14:paraId="349ED287" w14:textId="77777777" w:rsidR="006141BE" w:rsidRPr="00F10F16" w:rsidRDefault="006141BE" w:rsidP="006141BE">
            <w:pPr>
              <w:pStyle w:val="CEPATabletext"/>
              <w:rPr>
                <w:rFonts w:asciiTheme="minorHAnsi" w:hAnsiTheme="minorHAnsi" w:cstheme="minorHAnsi"/>
                <w:color w:val="auto"/>
                <w:szCs w:val="22"/>
              </w:rPr>
            </w:pPr>
            <w:r w:rsidRPr="007A13A1">
              <w:rPr>
                <w:rFonts w:asciiTheme="minorHAnsi" w:hAnsiTheme="minorHAnsi" w:cstheme="minorHAnsi"/>
                <w:color w:val="auto"/>
                <w:szCs w:val="22"/>
              </w:rPr>
              <w:t>World Health Organization Prequalification</w:t>
            </w:r>
          </w:p>
        </w:tc>
      </w:tr>
    </w:tbl>
    <w:p w14:paraId="7369770A" w14:textId="77777777" w:rsidR="006141BE" w:rsidRPr="006141BE" w:rsidRDefault="006141BE" w:rsidP="006141BE">
      <w:pPr>
        <w:pStyle w:val="CEPAReportText"/>
      </w:pPr>
    </w:p>
    <w:p w14:paraId="5C62EE56" w14:textId="77777777" w:rsidR="00125677" w:rsidRPr="00B943ED" w:rsidDel="00082A29" w:rsidRDefault="00125677" w:rsidP="00125677">
      <w:pPr>
        <w:pStyle w:val="CEPAReportText"/>
        <w:sectPr w:rsidR="00125677" w:rsidRPr="00B943ED" w:rsidDel="00082A29" w:rsidSect="00280C9A">
          <w:footerReference w:type="default" r:id="rId17"/>
          <w:pgSz w:w="11906" w:h="16838"/>
          <w:pgMar w:top="1440" w:right="1440" w:bottom="1135" w:left="1440" w:header="708" w:footer="708" w:gutter="0"/>
          <w:pgNumType w:fmt="lowerRoman" w:start="1"/>
          <w:cols w:space="708"/>
          <w:docGrid w:linePitch="360"/>
        </w:sectPr>
      </w:pPr>
    </w:p>
    <w:p w14:paraId="40B2AC90" w14:textId="77777777" w:rsidR="007D418F" w:rsidRPr="00B943ED" w:rsidDel="00082A29" w:rsidRDefault="007D418F" w:rsidP="007D418F">
      <w:pPr>
        <w:pStyle w:val="Heading1"/>
        <w:numPr>
          <w:ilvl w:val="0"/>
          <w:numId w:val="0"/>
        </w:numPr>
        <w:ind w:left="720" w:hanging="720"/>
        <w:jc w:val="left"/>
      </w:pPr>
      <w:bookmarkStart w:id="40" w:name="_Toc419125441"/>
      <w:bookmarkStart w:id="41" w:name="_Toc432520054"/>
      <w:bookmarkStart w:id="42" w:name="_Toc433041620"/>
      <w:bookmarkStart w:id="43" w:name="_Toc306978480"/>
      <w:bookmarkStart w:id="44" w:name="_Toc433145028"/>
      <w:bookmarkStart w:id="45" w:name="_Toc433190523"/>
      <w:bookmarkStart w:id="46" w:name="_Toc433197238"/>
      <w:bookmarkStart w:id="47" w:name="_Toc433213095"/>
      <w:bookmarkStart w:id="48" w:name="_Toc307070840"/>
      <w:bookmarkStart w:id="49" w:name="_Toc433216972"/>
      <w:bookmarkStart w:id="50" w:name="_Toc435180825"/>
      <w:bookmarkStart w:id="51" w:name="_Toc435186535"/>
      <w:bookmarkStart w:id="52" w:name="_Toc435198220"/>
      <w:bookmarkStart w:id="53" w:name="_Toc479157472"/>
      <w:bookmarkStart w:id="54" w:name="_Toc480382909"/>
      <w:bookmarkStart w:id="55" w:name="_Toc480382958"/>
      <w:bookmarkStart w:id="56" w:name="_Toc480401064"/>
      <w:bookmarkStart w:id="57" w:name="_Toc480448391"/>
      <w:bookmarkStart w:id="58" w:name="_Toc480475245"/>
      <w:bookmarkStart w:id="59" w:name="_Toc480476401"/>
      <w:bookmarkStart w:id="60" w:name="_Toc480546077"/>
      <w:bookmarkStart w:id="61" w:name="_Toc480549664"/>
      <w:bookmarkStart w:id="62" w:name="_Toc480553058"/>
      <w:bookmarkStart w:id="63" w:name="_Toc497836021"/>
      <w:bookmarkStart w:id="64" w:name="_Toc498093542"/>
      <w:bookmarkStart w:id="65" w:name="_Toc498094638"/>
      <w:bookmarkStart w:id="66" w:name="_Toc506417389"/>
      <w:bookmarkStart w:id="67" w:name="_Toc515359213"/>
      <w:bookmarkStart w:id="68" w:name="_Toc499825735"/>
      <w:bookmarkStart w:id="69" w:name="_Toc499827479"/>
      <w:bookmarkStart w:id="70" w:name="_Toc500074972"/>
      <w:bookmarkStart w:id="71" w:name="_Toc500077838"/>
      <w:bookmarkStart w:id="72" w:name="_Toc500179373"/>
      <w:bookmarkStart w:id="73" w:name="_Toc500445640"/>
      <w:bookmarkStart w:id="74" w:name="_Toc500503118"/>
      <w:bookmarkStart w:id="75" w:name="_Toc500508101"/>
      <w:bookmarkStart w:id="76" w:name="_Toc500512829"/>
      <w:bookmarkStart w:id="77" w:name="_Toc500517755"/>
      <w:bookmarkStart w:id="78" w:name="_Toc500519570"/>
      <w:bookmarkStart w:id="79" w:name="_Toc500524417"/>
      <w:r w:rsidRPr="00B943ED" w:rsidDel="00082A29">
        <w:lastRenderedPageBreak/>
        <w:t>Executive summary</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 xml:space="preserve"> </w:t>
      </w:r>
      <w:bookmarkEnd w:id="68"/>
      <w:bookmarkEnd w:id="69"/>
      <w:bookmarkEnd w:id="70"/>
      <w:bookmarkEnd w:id="71"/>
      <w:bookmarkEnd w:id="72"/>
      <w:bookmarkEnd w:id="73"/>
      <w:bookmarkEnd w:id="74"/>
      <w:bookmarkEnd w:id="75"/>
      <w:bookmarkEnd w:id="76"/>
      <w:bookmarkEnd w:id="77"/>
      <w:bookmarkEnd w:id="78"/>
      <w:bookmarkEnd w:id="79"/>
    </w:p>
    <w:p w14:paraId="2192E775" w14:textId="029ABC92" w:rsidR="007D418F" w:rsidRPr="00310A05" w:rsidDel="00082A29" w:rsidRDefault="007D418F" w:rsidP="007D418F">
      <w:pPr>
        <w:pStyle w:val="CEPAReportText"/>
      </w:pPr>
      <w:r>
        <w:t xml:space="preserve">This report presents Cambridge Economic Policy Associates’ (CEPA’s) </w:t>
      </w:r>
      <w:r w:rsidR="00B6205B">
        <w:t>findings</w:t>
      </w:r>
      <w:r w:rsidR="00E35E4C">
        <w:t xml:space="preserve">, conclusions and lessons learnt </w:t>
      </w:r>
      <w:r>
        <w:t xml:space="preserve">from an end-of-project evaluation of the Unitaid grant to Médecins Sans Frontières (MSF) on “Implementation of CD4 and viral load testing in decentralised, remote and resource-limited settings in MSF HIV programmes”. </w:t>
      </w:r>
    </w:p>
    <w:p w14:paraId="40A04293" w14:textId="48B75481" w:rsidR="00D84270" w:rsidRDefault="00D84270" w:rsidP="00D84270">
      <w:pPr>
        <w:pStyle w:val="Heading4"/>
      </w:pPr>
      <w:r>
        <w:t xml:space="preserve">Project background </w:t>
      </w:r>
    </w:p>
    <w:p w14:paraId="1D3F4C6F" w14:textId="06F6E944" w:rsidR="007D418F" w:rsidRDefault="007D418F" w:rsidP="007D418F">
      <w:pPr>
        <w:pStyle w:val="CEPAReportText"/>
      </w:pPr>
      <w:r>
        <w:t>The project was commissioned by Unitaid in December 2012</w:t>
      </w:r>
      <w:r w:rsidR="00955436">
        <w:t>,</w:t>
      </w:r>
      <w:r>
        <w:t xml:space="preserve"> with the objective of improving clinical outcomes for people living with HIV through the development and delivery of models of care for the optimal use of: (i) point</w:t>
      </w:r>
      <w:r w:rsidR="00D5687B">
        <w:t xml:space="preserve"> </w:t>
      </w:r>
      <w:r>
        <w:t>of</w:t>
      </w:r>
      <w:r w:rsidR="00D5687B">
        <w:t xml:space="preserve"> </w:t>
      </w:r>
      <w:r>
        <w:t>care (POC) CD4 testing; (ii) laboratory‐based viral load (VL) testing; (iii) POC VL testing; and (iv) early infant diagnosis (EID). Th</w:t>
      </w:r>
      <w:r w:rsidR="00F3160D">
        <w:t xml:space="preserve">is was an operational research project with the aim to </w:t>
      </w:r>
      <w:r>
        <w:t>evaluate the feasibility of emerging technologies</w:t>
      </w:r>
      <w:r w:rsidR="00B6205B">
        <w:t>,</w:t>
      </w:r>
      <w:r>
        <w:t xml:space="preserve"> and identify optimal strategies for the delivery of HIV treatment monitoring and diagnostic services.</w:t>
      </w:r>
      <w:r w:rsidR="00B6205B">
        <w:t xml:space="preserve"> The total budget for the project was </w:t>
      </w:r>
      <w:r>
        <w:t>US$28.7m</w:t>
      </w:r>
      <w:r w:rsidR="00B6205B">
        <w:t xml:space="preserve">, with an </w:t>
      </w:r>
      <w:r>
        <w:t xml:space="preserve">implementation period </w:t>
      </w:r>
      <w:r w:rsidR="0040233C">
        <w:t>until</w:t>
      </w:r>
      <w:r>
        <w:t xml:space="preserve"> </w:t>
      </w:r>
      <w:r w:rsidR="004846CB">
        <w:t>December</w:t>
      </w:r>
      <w:r>
        <w:t xml:space="preserve"> 2015, later extended to</w:t>
      </w:r>
      <w:r w:rsidR="005D5C21">
        <w:t xml:space="preserve"> April</w:t>
      </w:r>
      <w:r>
        <w:t xml:space="preserve"> 2017. </w:t>
      </w:r>
      <w:r w:rsidRPr="00D25147">
        <w:rPr>
          <w:bCs/>
        </w:rPr>
        <w:t xml:space="preserve">Seven countries were </w:t>
      </w:r>
      <w:r>
        <w:rPr>
          <w:bCs/>
        </w:rPr>
        <w:t xml:space="preserve">initially </w:t>
      </w:r>
      <w:r w:rsidRPr="00D25147">
        <w:rPr>
          <w:bCs/>
        </w:rPr>
        <w:t>targeted:</w:t>
      </w:r>
      <w:r w:rsidRPr="00D25147">
        <w:t xml:space="preserve"> </w:t>
      </w:r>
      <w:r>
        <w:t>Lesotho, Malawi, Mozambique, South Africa,</w:t>
      </w:r>
      <w:r w:rsidR="00D84270">
        <w:t xml:space="preserve"> Swaziland, Uganda and Zimbabwe;</w:t>
      </w:r>
      <w:r>
        <w:t xml:space="preserve"> and the </w:t>
      </w:r>
      <w:r w:rsidRPr="00253258">
        <w:t>Democratic Republic of the Congo</w:t>
      </w:r>
      <w:r>
        <w:t xml:space="preserve"> (DRC) and Kenya were added in 2014 and 2015 respectively.</w:t>
      </w:r>
    </w:p>
    <w:p w14:paraId="2063FF11" w14:textId="77777777" w:rsidR="007D418F" w:rsidRDefault="007D418F" w:rsidP="007D418F">
      <w:pPr>
        <w:pStyle w:val="Heading4"/>
      </w:pPr>
      <w:r>
        <w:t>Evaluation objectives and methodology</w:t>
      </w:r>
    </w:p>
    <w:p w14:paraId="373CE041" w14:textId="585574B7" w:rsidR="007D418F" w:rsidRDefault="00D84270" w:rsidP="007D418F">
      <w:pPr>
        <w:pStyle w:val="CEPAReportText"/>
      </w:pPr>
      <w:r>
        <w:t xml:space="preserve">The objective of the evaluation was to assess the programmatic implementation of the project, with a focus on its contribution to public health impact and in catalysing access to diagnosis and linkage to care in project countries. </w:t>
      </w:r>
      <w:r w:rsidR="007D418F">
        <w:t>Figure A sets out the evaluation framework</w:t>
      </w:r>
      <w:r w:rsidR="00F60492">
        <w:t xml:space="preserve">, structured along the OECD DAC evaluation criteria, highlighting </w:t>
      </w:r>
      <w:r>
        <w:t>the main areas of review</w:t>
      </w:r>
      <w:r w:rsidR="007D418F">
        <w:t xml:space="preserve">. </w:t>
      </w:r>
    </w:p>
    <w:p w14:paraId="3573F67B" w14:textId="23C0FC92" w:rsidR="007D418F" w:rsidRDefault="007D418F" w:rsidP="007D418F">
      <w:pPr>
        <w:pStyle w:val="CEPADiagramLabel"/>
      </w:pPr>
      <w:r>
        <w:t xml:space="preserve">Figure A: Evaluation </w:t>
      </w:r>
      <w:r w:rsidR="00D84270">
        <w:t>f</w:t>
      </w:r>
      <w:r>
        <w:t xml:space="preserve">ramework </w:t>
      </w:r>
    </w:p>
    <w:p w14:paraId="3CC3907F" w14:textId="77777777" w:rsidR="007D418F" w:rsidRDefault="007D418F" w:rsidP="007D418F">
      <w:pPr>
        <w:pStyle w:val="CEPAReportText"/>
      </w:pPr>
      <w:r w:rsidRPr="000350C3">
        <w:rPr>
          <w:noProof/>
          <w:lang w:val="en-US"/>
        </w:rPr>
        <w:drawing>
          <wp:inline distT="0" distB="0" distL="0" distR="0" wp14:anchorId="535ED74E" wp14:editId="635B0CDA">
            <wp:extent cx="5731510" cy="26993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699385"/>
                    </a:xfrm>
                    <a:prstGeom prst="rect">
                      <a:avLst/>
                    </a:prstGeom>
                    <a:noFill/>
                    <a:ln>
                      <a:noFill/>
                    </a:ln>
                  </pic:spPr>
                </pic:pic>
              </a:graphicData>
            </a:graphic>
          </wp:inline>
        </w:drawing>
      </w:r>
    </w:p>
    <w:p w14:paraId="358B1A60" w14:textId="00FFA71D" w:rsidR="007D418F" w:rsidRDefault="007D418F" w:rsidP="007D418F">
      <w:pPr>
        <w:pStyle w:val="CEPAReportText"/>
      </w:pPr>
      <w:r>
        <w:lastRenderedPageBreak/>
        <w:t xml:space="preserve">A mixed-methods approach </w:t>
      </w:r>
      <w:r w:rsidR="00D84270">
        <w:t>was</w:t>
      </w:r>
      <w:r>
        <w:t xml:space="preserve"> employed for the evaluation including </w:t>
      </w:r>
      <w:r w:rsidRPr="002C1EB1">
        <w:t xml:space="preserve">document review, data analysis, </w:t>
      </w:r>
      <w:r w:rsidR="00F60492">
        <w:t xml:space="preserve">stakeholder </w:t>
      </w:r>
      <w:r w:rsidRPr="002C1EB1">
        <w:t xml:space="preserve">consultations with Unitaid, </w:t>
      </w:r>
      <w:r>
        <w:t>MSF</w:t>
      </w:r>
      <w:r w:rsidRPr="002C1EB1">
        <w:t xml:space="preserve">, </w:t>
      </w:r>
      <w:r>
        <w:t xml:space="preserve">other donors and </w:t>
      </w:r>
      <w:r w:rsidRPr="002C1EB1">
        <w:t xml:space="preserve">partners, as well as </w:t>
      </w:r>
      <w:r w:rsidR="00D84270">
        <w:t>with country</w:t>
      </w:r>
      <w:r w:rsidRPr="002C1EB1">
        <w:t xml:space="preserve"> government officials, </w:t>
      </w:r>
      <w:r>
        <w:t>partners</w:t>
      </w:r>
      <w:r w:rsidRPr="002C1EB1">
        <w:t xml:space="preserve"> and beneficiaries through field visit</w:t>
      </w:r>
      <w:r>
        <w:t>s</w:t>
      </w:r>
      <w:r w:rsidRPr="002C1EB1">
        <w:t xml:space="preserve"> to </w:t>
      </w:r>
      <w:r w:rsidR="00F60492">
        <w:t xml:space="preserve">two of the nine project countries namely </w:t>
      </w:r>
      <w:r w:rsidRPr="002C1EB1">
        <w:t xml:space="preserve">Zimbabwe and </w:t>
      </w:r>
      <w:r>
        <w:t xml:space="preserve">Malawi (Chiradzulu and </w:t>
      </w:r>
      <w:r w:rsidRPr="00BA7E10">
        <w:t xml:space="preserve">Thyolo). </w:t>
      </w:r>
      <w:r w:rsidR="00BA7E10" w:rsidRPr="00BA7E10">
        <w:t>Key evaluation limitations include limited generalisability of findings as there has been an in-depth assessment for two of the nine project countries only (although our gl</w:t>
      </w:r>
      <w:r w:rsidR="00BA7E10">
        <w:t xml:space="preserve">obal-level consultations have supported wider corroboration of country-specific findings) and challenges with the M&amp;E data due to frequent updates to the logframe indicators and targets, discrepancies between annual reporting. </w:t>
      </w:r>
    </w:p>
    <w:p w14:paraId="347F9E3B" w14:textId="77777777" w:rsidR="007D418F" w:rsidRDefault="007D418F" w:rsidP="007D418F">
      <w:pPr>
        <w:pStyle w:val="CEPAReportText"/>
      </w:pPr>
      <w:r w:rsidRPr="002C1EB1">
        <w:t>Key findings by evaluation dimension are presented below, followed by overall conclusions and lessons learned.</w:t>
      </w:r>
    </w:p>
    <w:p w14:paraId="1EE6109B" w14:textId="77777777" w:rsidR="007D418F" w:rsidRDefault="007D418F" w:rsidP="007D418F">
      <w:pPr>
        <w:pStyle w:val="Heading4"/>
      </w:pPr>
      <w:r>
        <w:t>Relevance</w:t>
      </w:r>
    </w:p>
    <w:p w14:paraId="2FE9BFD6" w14:textId="3474603F" w:rsidR="00694479" w:rsidRDefault="00694479" w:rsidP="00AC1F4D">
      <w:pPr>
        <w:pStyle w:val="CEPAReportText"/>
      </w:pPr>
      <w:r>
        <w:t>We considered the relevance of the project in terms of its need for countries and in relation to the broader HIV policy landscape as well as its alignment with Unitaid’s mandate</w:t>
      </w:r>
      <w:r w:rsidR="00F60492">
        <w:t xml:space="preserve"> and diagnostics portfolio</w:t>
      </w:r>
      <w:r>
        <w:t xml:space="preserve">. Our findings are as follows: </w:t>
      </w:r>
    </w:p>
    <w:p w14:paraId="46F88D7B" w14:textId="5EAA9E83" w:rsidR="00AC1F4D" w:rsidRDefault="00AC1F4D" w:rsidP="00694479">
      <w:pPr>
        <w:pStyle w:val="CEPAReportText"/>
      </w:pPr>
      <w:r>
        <w:t xml:space="preserve">The project was approved at a time when there was limited commitment, funding and policy progression on VL monitoring across countries, thereby highlighting its strong need and relevance. None of the project countries (except South Africa) had access to routine VL monitoring through a government or donor-sponsored programme, highlighting the significance of the MSF project in initiating and feasibility testing of alternative models of care in this area. Further, the project evolved over time with changing WHO guidelines – and particularly the change in the WHO </w:t>
      </w:r>
      <w:r w:rsidR="00694479" w:rsidRPr="00F10F16">
        <w:rPr>
          <w:rFonts w:asciiTheme="minorHAnsi" w:hAnsiTheme="minorHAnsi" w:cstheme="minorHAnsi"/>
          <w:szCs w:val="22"/>
        </w:rPr>
        <w:t>Antiretroviral Therapy</w:t>
      </w:r>
      <w:r w:rsidR="00694479">
        <w:t xml:space="preserve"> (</w:t>
      </w:r>
      <w:r>
        <w:t>ART</w:t>
      </w:r>
      <w:r w:rsidR="00694479">
        <w:t>)</w:t>
      </w:r>
      <w:r>
        <w:t xml:space="preserve"> guidelines to “treat all” resulting in a reduced need for CD4 testing – thereby maintaining its ongoing relevance. </w:t>
      </w:r>
      <w:r w:rsidR="00694479">
        <w:t xml:space="preserve">The significance of the project is also brought out by the introduction of the UNAIDS 90-90-90 targets in 2014, including </w:t>
      </w:r>
      <w:r w:rsidR="00694479" w:rsidRPr="00601FE0">
        <w:t xml:space="preserve">90% of </w:t>
      </w:r>
      <w:r w:rsidR="00694479">
        <w:t>people on ART</w:t>
      </w:r>
      <w:r w:rsidR="00694479" w:rsidRPr="00601FE0">
        <w:t xml:space="preserve"> having viral suppression by 2020</w:t>
      </w:r>
      <w:r w:rsidR="00694479">
        <w:t xml:space="preserve">. </w:t>
      </w:r>
    </w:p>
    <w:p w14:paraId="6C03F88D" w14:textId="5646EDFC" w:rsidR="00D84270" w:rsidRDefault="00AC1F4D" w:rsidP="00694479">
      <w:pPr>
        <w:pStyle w:val="CEPAReportText"/>
      </w:pPr>
      <w:r>
        <w:t xml:space="preserve">The project has been directly relevant and aligned with Unitaid’s strategy and market mandate; and while the operational research nature of the grant is not typical for Unitaid funding, its feasibility establishment and therefore demand creation role is fully aligned with Unitaid’s objectives. </w:t>
      </w:r>
      <w:r w:rsidR="00694479">
        <w:t xml:space="preserve">There has also been good complementarity with Unitaid’s other HIV diagnostics grants, with each having their own objectives and specific niches, but together covering a plethora of relevant issues for improved HIV diagnostics and monitoring. Importantly, the MSF project has been viewed as “seminal” and a “trailblazer” within this portfolio of grants, with our consultations with the other grantees indicating that the MSF project set the </w:t>
      </w:r>
      <w:r w:rsidR="00931C46">
        <w:t>base</w:t>
      </w:r>
      <w:r w:rsidR="00694479">
        <w:t xml:space="preserve"> for the work conducted by these other grants. </w:t>
      </w:r>
    </w:p>
    <w:p w14:paraId="49F5B43E" w14:textId="5E5DCB92" w:rsidR="00694479" w:rsidRDefault="00493D6D" w:rsidP="00694479">
      <w:pPr>
        <w:pStyle w:val="CEPAReportText"/>
      </w:pPr>
      <w:r>
        <w:t xml:space="preserve">The relevance of the project could have been enhanced through better coordination with other Unitaid grants and wider partners – which was mostly ad hoc, and although improved over time at the global level through Unitaid-organised synergy meetings, continued to vary in efficacy in countries. Also, looking forward, the project’s relevance is undermined by the </w:t>
      </w:r>
      <w:r>
        <w:lastRenderedPageBreak/>
        <w:t>greater interest and emphasis on polyvalent platforms and integrated approaches to health</w:t>
      </w:r>
      <w:r w:rsidR="00931C46">
        <w:t xml:space="preserve"> today</w:t>
      </w:r>
      <w:r>
        <w:t>, although it is noted that this grant f</w:t>
      </w:r>
      <w:r w:rsidRPr="00211211">
        <w:t>ocused on single-use platforms</w:t>
      </w:r>
      <w:r>
        <w:t xml:space="preserve"> due to these not being available early on in the project</w:t>
      </w:r>
      <w:r w:rsidRPr="00211211">
        <w:t>.</w:t>
      </w:r>
    </w:p>
    <w:p w14:paraId="04047DED" w14:textId="77777777" w:rsidR="007D418F" w:rsidRDefault="007D418F" w:rsidP="007D418F">
      <w:pPr>
        <w:pStyle w:val="Heading4"/>
      </w:pPr>
      <w:r>
        <w:t>Efficiency and effectiveness</w:t>
      </w:r>
    </w:p>
    <w:p w14:paraId="6A6738DE" w14:textId="29DC7166" w:rsidR="00EB79C8" w:rsidRPr="00EB79C8" w:rsidRDefault="00EB79C8" w:rsidP="00EB79C8">
      <w:pPr>
        <w:pStyle w:val="CEPAReportText"/>
      </w:pPr>
      <w:r>
        <w:t xml:space="preserve">With regards to efficiency and effectiveness, we considered the extent to which the project was well managed by MSF, as well as overall achievement of planned activities and outputs, alongside country case studies that reviewed the implementation experience of different diagnostic platforms and models of care. </w:t>
      </w:r>
    </w:p>
    <w:p w14:paraId="5D7DA622" w14:textId="2C6EABF7" w:rsidR="007D418F" w:rsidRPr="00D807CB" w:rsidRDefault="00EB79C8" w:rsidP="007D418F">
      <w:pPr>
        <w:pStyle w:val="CEPAReportText"/>
        <w:rPr>
          <w:b/>
          <w:i/>
        </w:rPr>
      </w:pPr>
      <w:r>
        <w:rPr>
          <w:b/>
          <w:i/>
        </w:rPr>
        <w:t xml:space="preserve">Efficiency of budget, timelines and overall project management </w:t>
      </w:r>
    </w:p>
    <w:p w14:paraId="385B6056" w14:textId="5B626B78" w:rsidR="007D418F" w:rsidRDefault="007D418F" w:rsidP="007D418F">
      <w:pPr>
        <w:pStyle w:val="CEPAReportText"/>
        <w:rPr>
          <w:lang w:val="en-US"/>
        </w:rPr>
      </w:pPr>
      <w:r w:rsidRPr="00782D08">
        <w:t>The MSF project was an ambitious project</w:t>
      </w:r>
      <w:r w:rsidR="0054581B">
        <w:t xml:space="preserve"> to be implemented in highly resource-constrained settings</w:t>
      </w:r>
      <w:r w:rsidRPr="00782D08">
        <w:t xml:space="preserve">, with several uncertainties relating to product availability and timing alongside evolving WHO guidelines. </w:t>
      </w:r>
      <w:r>
        <w:rPr>
          <w:lang w:val="en-US"/>
        </w:rPr>
        <w:t>MSF has approached these challenges well, nimbly adapting and revising its country programme and diagnostic platform selection to best suit the needs of the specific context</w:t>
      </w:r>
      <w:r w:rsidR="0054581B">
        <w:rPr>
          <w:lang w:val="en-US"/>
        </w:rPr>
        <w:t xml:space="preserve">, although the </w:t>
      </w:r>
      <w:r w:rsidR="00FD38F7">
        <w:rPr>
          <w:lang w:val="en-US"/>
        </w:rPr>
        <w:t xml:space="preserve">product </w:t>
      </w:r>
      <w:r w:rsidR="0054581B">
        <w:rPr>
          <w:lang w:val="en-US"/>
        </w:rPr>
        <w:t xml:space="preserve">delays have resulted in limited testing (and therefore demonstration) of POC VL and EID by the project (with the predominant focus being on </w:t>
      </w:r>
      <w:r w:rsidR="005770F3" w:rsidRPr="00543604">
        <w:rPr>
          <w:rFonts w:eastAsia="Calibri" w:cs="Calibri"/>
        </w:rPr>
        <w:t xml:space="preserve">laboratory-based </w:t>
      </w:r>
      <w:r w:rsidR="0054581B">
        <w:rPr>
          <w:lang w:val="en-US"/>
        </w:rPr>
        <w:t>VL testing)</w:t>
      </w:r>
      <w:r>
        <w:rPr>
          <w:lang w:val="en-US"/>
        </w:rPr>
        <w:t>.</w:t>
      </w:r>
    </w:p>
    <w:p w14:paraId="248B91FE" w14:textId="0881781D" w:rsidR="007D418F" w:rsidRDefault="007D418F" w:rsidP="007D418F">
      <w:pPr>
        <w:pStyle w:val="CEPAReportText"/>
        <w:rPr>
          <w:lang w:val="en-US"/>
        </w:rPr>
      </w:pPr>
      <w:r>
        <w:rPr>
          <w:lang w:val="en-US"/>
        </w:rPr>
        <w:t>These aspects have contributed to some variances in planned versus actual project expenditures as well as created challenges in effective monitoring</w:t>
      </w:r>
      <w:r w:rsidR="0054581B">
        <w:rPr>
          <w:lang w:val="en-US"/>
        </w:rPr>
        <w:t xml:space="preserve"> (with targets and budgets being constantly revised)</w:t>
      </w:r>
      <w:r>
        <w:rPr>
          <w:lang w:val="en-US"/>
        </w:rPr>
        <w:t xml:space="preserve">. Project </w:t>
      </w:r>
      <w:r w:rsidR="00EB79C8">
        <w:rPr>
          <w:lang w:val="en-US"/>
        </w:rPr>
        <w:t>monitoring</w:t>
      </w:r>
      <w:r>
        <w:rPr>
          <w:lang w:val="en-US"/>
        </w:rPr>
        <w:t xml:space="preserve"> was </w:t>
      </w:r>
      <w:r w:rsidR="0054581B">
        <w:rPr>
          <w:lang w:val="en-US"/>
        </w:rPr>
        <w:t xml:space="preserve">also </w:t>
      </w:r>
      <w:r w:rsidR="00EB79C8">
        <w:rPr>
          <w:lang w:val="en-US"/>
        </w:rPr>
        <w:t xml:space="preserve">weak on the </w:t>
      </w:r>
      <w:r>
        <w:rPr>
          <w:lang w:val="en-US"/>
        </w:rPr>
        <w:t>whole with poorly defined indicators (</w:t>
      </w:r>
      <w:r w:rsidR="00EB79C8">
        <w:rPr>
          <w:lang w:val="en-US"/>
        </w:rPr>
        <w:t>e.g. relating to sustainability of MSF programmes in country)</w:t>
      </w:r>
      <w:r w:rsidR="00F3160D">
        <w:rPr>
          <w:lang w:val="en-US"/>
        </w:rPr>
        <w:t xml:space="preserve">, </w:t>
      </w:r>
      <w:r>
        <w:rPr>
          <w:lang w:val="en-US"/>
        </w:rPr>
        <w:t>absence of key indicators that could measure project results (</w:t>
      </w:r>
      <w:r w:rsidR="00EB79C8">
        <w:rPr>
          <w:lang w:val="en-US"/>
        </w:rPr>
        <w:t xml:space="preserve">e.g. on policy uptake, which was </w:t>
      </w:r>
      <w:r w:rsidR="0054581B">
        <w:rPr>
          <w:lang w:val="en-US"/>
        </w:rPr>
        <w:t xml:space="preserve">an important </w:t>
      </w:r>
      <w:r w:rsidR="00EB79C8">
        <w:rPr>
          <w:lang w:val="en-US"/>
        </w:rPr>
        <w:t>result of the project)</w:t>
      </w:r>
      <w:r w:rsidR="00F3160D">
        <w:rPr>
          <w:lang w:val="en-US"/>
        </w:rPr>
        <w:t xml:space="preserve"> and limited ownership of the results framework by the grantee</w:t>
      </w:r>
      <w:r w:rsidR="00EB79C8">
        <w:rPr>
          <w:lang w:val="en-US"/>
        </w:rPr>
        <w:t>.</w:t>
      </w:r>
      <w:r>
        <w:rPr>
          <w:lang w:val="en-US"/>
        </w:rPr>
        <w:t xml:space="preserve"> </w:t>
      </w:r>
      <w:r w:rsidR="00EB79C8">
        <w:rPr>
          <w:lang w:val="en-US"/>
        </w:rPr>
        <w:t xml:space="preserve">Further, to </w:t>
      </w:r>
      <w:r w:rsidR="005D5C21" w:rsidRPr="005D5C21">
        <w:rPr>
          <w:lang w:val="en-US"/>
        </w:rPr>
        <w:t>the extent that we have been made aware, formal risk management processes were not adopted until the end of the project by Unitaid, which may have detracted from engaged risk management</w:t>
      </w:r>
      <w:r w:rsidR="00EB79C8">
        <w:rPr>
          <w:lang w:val="en-US"/>
        </w:rPr>
        <w:t xml:space="preserve">. </w:t>
      </w:r>
    </w:p>
    <w:p w14:paraId="75612B8B" w14:textId="30262E4A" w:rsidR="007D418F" w:rsidRDefault="007D418F" w:rsidP="007D418F">
      <w:pPr>
        <w:pStyle w:val="CEPAReportText"/>
      </w:pPr>
      <w:r>
        <w:t xml:space="preserve">MSF-Unitaid engagement has generally worked well, although there were some initial teething issues as a result of a first-time engagement for both institutions. </w:t>
      </w:r>
      <w:r w:rsidR="006E7B04">
        <w:t xml:space="preserve">Project management in terms of coordination amongst the different MSF offices could have been better done, with for example, </w:t>
      </w:r>
      <w:r w:rsidR="006460F4">
        <w:t>MSF units working in Malawi advocat</w:t>
      </w:r>
      <w:r w:rsidR="006E7B04">
        <w:t xml:space="preserve">ing </w:t>
      </w:r>
      <w:r w:rsidR="006460F4">
        <w:t>for different approaches to VL testing</w:t>
      </w:r>
      <w:r>
        <w:t>.</w:t>
      </w:r>
    </w:p>
    <w:p w14:paraId="358AFAC0" w14:textId="68509843" w:rsidR="006E7B04" w:rsidRDefault="0022487B" w:rsidP="007D418F">
      <w:pPr>
        <w:pStyle w:val="CEPAReportText"/>
        <w:rPr>
          <w:rFonts w:eastAsia="Calibri" w:cs="Calibri"/>
          <w:b/>
          <w:i/>
        </w:rPr>
      </w:pPr>
      <w:r>
        <w:rPr>
          <w:rFonts w:eastAsia="Calibri" w:cs="Calibri"/>
          <w:b/>
          <w:i/>
        </w:rPr>
        <w:t>Efficacy</w:t>
      </w:r>
      <w:r w:rsidR="007D418F" w:rsidRPr="000B1E98">
        <w:rPr>
          <w:rFonts w:eastAsia="Calibri" w:cs="Calibri"/>
          <w:b/>
          <w:i/>
        </w:rPr>
        <w:t xml:space="preserve"> of planned activities</w:t>
      </w:r>
      <w:r w:rsidR="007D418F">
        <w:rPr>
          <w:rFonts w:eastAsia="Calibri" w:cs="Calibri"/>
          <w:b/>
          <w:i/>
        </w:rPr>
        <w:t xml:space="preserve"> </w:t>
      </w:r>
      <w:r w:rsidR="006E7B04">
        <w:rPr>
          <w:rFonts w:eastAsia="Calibri" w:cs="Calibri"/>
          <w:b/>
          <w:i/>
        </w:rPr>
        <w:t>and related targets</w:t>
      </w:r>
    </w:p>
    <w:p w14:paraId="50F9E61F" w14:textId="00E99C41" w:rsidR="006E7B04" w:rsidRPr="00A601A8" w:rsidRDefault="00FD38F7" w:rsidP="006E7B04">
      <w:pPr>
        <w:pStyle w:val="CEPAReportText"/>
      </w:pPr>
      <w:r>
        <w:rPr>
          <w:rFonts w:eastAsia="Calibri"/>
        </w:rPr>
        <w:t xml:space="preserve">We have assessed </w:t>
      </w:r>
      <w:r>
        <w:t>the extent of delivery of planned activities and targets, as set out in the project plan and logframe</w:t>
      </w:r>
      <w:r w:rsidR="00BA7E10">
        <w:t>, considering bo</w:t>
      </w:r>
      <w:r>
        <w:t>th country-level activities relating to planned versus actual testing as well as at the global level in terms of the research and advocacy</w:t>
      </w:r>
      <w:r w:rsidR="00BA7E10">
        <w:t>/ dissemination</w:t>
      </w:r>
      <w:r>
        <w:t xml:space="preserve"> </w:t>
      </w:r>
      <w:r w:rsidRPr="00A601A8">
        <w:t xml:space="preserve">work conducted by the project. </w:t>
      </w:r>
      <w:r w:rsidR="00F3160D">
        <w:t>With continually revised logframe targets and several key activities not been monitored through the logframe</w:t>
      </w:r>
      <w:r w:rsidR="00BA7E10">
        <w:t xml:space="preserve"> (as noted above)</w:t>
      </w:r>
      <w:r w:rsidR="00F3160D">
        <w:t xml:space="preserve">, we do not have clear benchmarks to assess progress against and rather have based some of the assessment on stakeholder feedback. </w:t>
      </w:r>
    </w:p>
    <w:p w14:paraId="73488820" w14:textId="7C691485" w:rsidR="00543604" w:rsidRDefault="005770F3" w:rsidP="007D418F">
      <w:pPr>
        <w:pStyle w:val="CEPAReportText"/>
        <w:rPr>
          <w:rFonts w:eastAsia="Calibri" w:cs="Calibri"/>
        </w:rPr>
      </w:pPr>
      <w:r w:rsidRPr="00A601A8">
        <w:lastRenderedPageBreak/>
        <w:t xml:space="preserve">In terms of testing, the following was achieved under the project: 540,690 VL tests (79% of the final agreed target), </w:t>
      </w:r>
      <w:r w:rsidRPr="00A601A8">
        <w:rPr>
          <w:rFonts w:eastAsia="Calibri"/>
        </w:rPr>
        <w:t>65,659 POC CD4 tests (exceeding the final agreed target by 8%) and 5,875 EID tests (48% of the</w:t>
      </w:r>
      <w:r>
        <w:rPr>
          <w:rFonts w:eastAsia="Calibri"/>
        </w:rPr>
        <w:t xml:space="preserve"> revised target).</w:t>
      </w:r>
      <w:r w:rsidR="00A6136B">
        <w:rPr>
          <w:rStyle w:val="FootnoteReference"/>
          <w:rFonts w:eastAsia="Calibri"/>
        </w:rPr>
        <w:footnoteReference w:id="2"/>
      </w:r>
      <w:r>
        <w:rPr>
          <w:rFonts w:eastAsia="Calibri"/>
        </w:rPr>
        <w:t xml:space="preserve"> </w:t>
      </w:r>
      <w:r w:rsidR="00543604" w:rsidRPr="00543604">
        <w:rPr>
          <w:rFonts w:eastAsia="Calibri" w:cs="Calibri"/>
        </w:rPr>
        <w:t>As such, the project had a much larg</w:t>
      </w:r>
      <w:r w:rsidR="00543604">
        <w:rPr>
          <w:rFonts w:eastAsia="Calibri" w:cs="Calibri"/>
        </w:rPr>
        <w:t>er impact in terms of VL</w:t>
      </w:r>
      <w:r w:rsidR="00543604" w:rsidRPr="00543604">
        <w:rPr>
          <w:rFonts w:eastAsia="Calibri" w:cs="Calibri"/>
        </w:rPr>
        <w:t xml:space="preserve"> testing</w:t>
      </w:r>
      <w:r>
        <w:rPr>
          <w:rFonts w:eastAsia="Calibri" w:cs="Calibri"/>
        </w:rPr>
        <w:t xml:space="preserve"> (which is viewed as the main contribution of the project)</w:t>
      </w:r>
      <w:r w:rsidR="00543604" w:rsidRPr="00543604">
        <w:rPr>
          <w:rFonts w:eastAsia="Calibri" w:cs="Calibri"/>
        </w:rPr>
        <w:t xml:space="preserve">, as compared to EID and CD4 testing. While not directly evident from </w:t>
      </w:r>
      <w:r>
        <w:rPr>
          <w:rFonts w:eastAsia="Calibri" w:cs="Calibri"/>
        </w:rPr>
        <w:t>this data</w:t>
      </w:r>
      <w:r w:rsidR="00543604" w:rsidRPr="00543604">
        <w:rPr>
          <w:rFonts w:eastAsia="Calibri" w:cs="Calibri"/>
        </w:rPr>
        <w:t xml:space="preserve">, </w:t>
      </w:r>
      <w:r>
        <w:rPr>
          <w:rFonts w:eastAsia="Calibri" w:cs="Calibri"/>
        </w:rPr>
        <w:t xml:space="preserve">and as noted previously, </w:t>
      </w:r>
      <w:r w:rsidR="00543604" w:rsidRPr="00543604">
        <w:rPr>
          <w:rFonts w:eastAsia="Calibri" w:cs="Calibri"/>
        </w:rPr>
        <w:t>the project had a larger impact in terms of laboratory-based VL testing as compared to POC VL testing, primarily due to product availability.</w:t>
      </w:r>
    </w:p>
    <w:p w14:paraId="27D130ED" w14:textId="191CE510" w:rsidR="00BA7E10" w:rsidRPr="0022487B" w:rsidRDefault="007D418F" w:rsidP="007D418F">
      <w:pPr>
        <w:pStyle w:val="CEPAReportText"/>
        <w:rPr>
          <w:rFonts w:eastAsia="Calibri" w:cs="Calibri"/>
        </w:rPr>
      </w:pPr>
      <w:r w:rsidRPr="140672CF">
        <w:rPr>
          <w:rFonts w:eastAsia="Calibri" w:cs="Calibri"/>
        </w:rPr>
        <w:t xml:space="preserve">With regard </w:t>
      </w:r>
      <w:r w:rsidRPr="00A601A8">
        <w:rPr>
          <w:rFonts w:eastAsia="Calibri" w:cs="Calibri"/>
        </w:rPr>
        <w:t>to operational research and advocacy, MSF published 40 peer-reviewed studies on diagnostic</w:t>
      </w:r>
      <w:r w:rsidRPr="140672CF">
        <w:rPr>
          <w:rFonts w:eastAsia="Calibri" w:cs="Calibri"/>
        </w:rPr>
        <w:t xml:space="preserve"> validation and ART adherence, and delivered the MSF Access 'Undetectable Campaign', </w:t>
      </w:r>
      <w:r w:rsidR="00BA7E10">
        <w:rPr>
          <w:rFonts w:eastAsia="Calibri" w:cs="Calibri"/>
        </w:rPr>
        <w:t xml:space="preserve">including </w:t>
      </w:r>
      <w:r w:rsidR="00BA7E10">
        <w:t xml:space="preserve">a nine-volume series of publications advocating for scale up of </w:t>
      </w:r>
      <w:r w:rsidR="00BA7E10" w:rsidRPr="005F7BF4">
        <w:t>VL, EID and CD4 monitoring</w:t>
      </w:r>
      <w:r w:rsidRPr="140672CF">
        <w:rPr>
          <w:rFonts w:eastAsia="Calibri" w:cs="Calibri"/>
        </w:rPr>
        <w:t xml:space="preserve">. </w:t>
      </w:r>
      <w:r w:rsidR="0022487B">
        <w:rPr>
          <w:rFonts w:eastAsia="Calibri" w:cs="Calibri"/>
        </w:rPr>
        <w:t>The clinical, technical and operational findings from the project have been widely disseminated by MSF, with all of our global-level consultees noting the utility of the research work and different publications (particularly WHO)</w:t>
      </w:r>
      <w:r w:rsidR="00BA7E10">
        <w:rPr>
          <w:rFonts w:eastAsia="Calibri" w:cs="Calibri"/>
        </w:rPr>
        <w:t xml:space="preserve"> as well as dissemination through several global fora</w:t>
      </w:r>
      <w:r w:rsidR="0022487B">
        <w:rPr>
          <w:rFonts w:eastAsia="Calibri" w:cs="Calibri"/>
        </w:rPr>
        <w:t xml:space="preserve">. </w:t>
      </w:r>
      <w:r w:rsidR="00BA7E10">
        <w:rPr>
          <w:rFonts w:eastAsia="Calibri" w:cs="Calibri"/>
        </w:rPr>
        <w:t>Advocacy and dissemination work by MSF</w:t>
      </w:r>
      <w:r w:rsidR="0022487B">
        <w:rPr>
          <w:rFonts w:eastAsia="Calibri" w:cs="Calibri"/>
        </w:rPr>
        <w:t xml:space="preserve"> has also been well-received at the country level, through regu</w:t>
      </w:r>
      <w:r w:rsidR="006460F4" w:rsidRPr="00753CC3">
        <w:rPr>
          <w:rFonts w:eastAsia="Calibri"/>
        </w:rPr>
        <w:t>lar engagement with Ministry of Health (MOH), donors and partners (e.g. PEPFAR, Global Fund, CHAI) to facilitate hand-over and scale-</w:t>
      </w:r>
      <w:r w:rsidR="006460F4" w:rsidRPr="00840678">
        <w:rPr>
          <w:rFonts w:eastAsia="Calibri"/>
        </w:rPr>
        <w:t>up of VL testing</w:t>
      </w:r>
      <w:r w:rsidR="0022487B">
        <w:rPr>
          <w:rFonts w:eastAsia="Calibri"/>
        </w:rPr>
        <w:t xml:space="preserve">, </w:t>
      </w:r>
      <w:r w:rsidR="006460F4" w:rsidRPr="00840678">
        <w:rPr>
          <w:rFonts w:eastAsia="Calibri"/>
        </w:rPr>
        <w:t xml:space="preserve">and </w:t>
      </w:r>
      <w:r w:rsidR="006460F4">
        <w:rPr>
          <w:rFonts w:eastAsia="Calibri"/>
        </w:rPr>
        <w:t>with civil society organisations (CSOs) and patient groups for demand creation, although the extent of engagement has varied by country</w:t>
      </w:r>
      <w:r w:rsidR="0022487B">
        <w:rPr>
          <w:rFonts w:eastAsia="Calibri"/>
        </w:rPr>
        <w:t xml:space="preserve"> (discussed further below)</w:t>
      </w:r>
      <w:r w:rsidR="006460F4">
        <w:rPr>
          <w:rFonts w:eastAsia="Calibri"/>
        </w:rPr>
        <w:t>.</w:t>
      </w:r>
      <w:r w:rsidR="00BA7E10">
        <w:rPr>
          <w:rFonts w:eastAsia="Calibri"/>
        </w:rPr>
        <w:t xml:space="preserve"> For example, M</w:t>
      </w:r>
      <w:r w:rsidR="00BA7E10" w:rsidRPr="0042787C">
        <w:t xml:space="preserve">SF collaborated with the International Treatment Preparedness Coalition (ITPC) </w:t>
      </w:r>
      <w:r w:rsidR="00BA7E10">
        <w:t>on</w:t>
      </w:r>
      <w:r w:rsidR="00BA7E10" w:rsidRPr="0042787C">
        <w:t xml:space="preserve"> advocacy campaigns</w:t>
      </w:r>
      <w:r w:rsidR="00BA7E10">
        <w:t>, and while the feedback was positive for some countries, in others we understand that the</w:t>
      </w:r>
      <w:r w:rsidR="00BA7E10" w:rsidRPr="0042787C">
        <w:t xml:space="preserve"> advocacy messaging was delayed and only introduced towards the end of the project, reducing its value</w:t>
      </w:r>
      <w:r w:rsidR="00BA7E10">
        <w:t xml:space="preserve">.  </w:t>
      </w:r>
    </w:p>
    <w:p w14:paraId="0E5DF13A" w14:textId="17ECC262" w:rsidR="007D418F" w:rsidRPr="000B1E98" w:rsidRDefault="0022487B" w:rsidP="007D418F">
      <w:pPr>
        <w:pStyle w:val="CEPAReportText"/>
        <w:rPr>
          <w:b/>
          <w:i/>
        </w:rPr>
      </w:pPr>
      <w:r>
        <w:rPr>
          <w:b/>
          <w:i/>
        </w:rPr>
        <w:t xml:space="preserve">Country case studies and efficacy of implementation </w:t>
      </w:r>
    </w:p>
    <w:p w14:paraId="44FBF465" w14:textId="074E8A1A" w:rsidR="007D418F" w:rsidRDefault="0022487B" w:rsidP="007D418F">
      <w:pPr>
        <w:pStyle w:val="CEPAReportText"/>
      </w:pPr>
      <w:r>
        <w:t xml:space="preserve">Country case studies were conducted on the MSF programme in </w:t>
      </w:r>
      <w:r w:rsidR="007D418F" w:rsidRPr="140672CF">
        <w:t>Malawi</w:t>
      </w:r>
      <w:r w:rsidR="007D418F">
        <w:t xml:space="preserve"> </w:t>
      </w:r>
      <w:r w:rsidR="007D418F" w:rsidRPr="00A14647">
        <w:t xml:space="preserve">(encompassing two different programmes in Chiradzulu and Thyolo) </w:t>
      </w:r>
      <w:r>
        <w:t xml:space="preserve">and Zimbabwe to evaluate successes and challenges. The following were the main findings: </w:t>
      </w:r>
    </w:p>
    <w:p w14:paraId="10DB949F" w14:textId="112AD4E7" w:rsidR="007D418F" w:rsidRPr="00840678" w:rsidRDefault="007D418F" w:rsidP="007D418F">
      <w:pPr>
        <w:pStyle w:val="CEPABullets"/>
        <w:numPr>
          <w:ilvl w:val="0"/>
          <w:numId w:val="1"/>
        </w:numPr>
      </w:pPr>
      <w:r>
        <w:rPr>
          <w:b/>
        </w:rPr>
        <w:t>Malawi Chiradzulu:</w:t>
      </w:r>
      <w:r>
        <w:t xml:space="preserve"> MSF led the way in demonstrating the feasibility and </w:t>
      </w:r>
      <w:r w:rsidRPr="00840678">
        <w:t>benefits of POC</w:t>
      </w:r>
      <w:r>
        <w:t xml:space="preserve"> VL</w:t>
      </w:r>
      <w:r w:rsidRPr="00840678">
        <w:t xml:space="preserve"> testing</w:t>
      </w:r>
      <w:r>
        <w:t xml:space="preserve"> using the SAMBA platform, including high VL testing coverage</w:t>
      </w:r>
      <w:r w:rsidR="000C3134">
        <w:t xml:space="preserve"> (62% to 81% across sites)</w:t>
      </w:r>
      <w:r>
        <w:t>, rapid test turnaround times</w:t>
      </w:r>
      <w:r w:rsidR="00BE230B">
        <w:t xml:space="preserve"> (one day)</w:t>
      </w:r>
      <w:r>
        <w:t>, low rate of loss of results</w:t>
      </w:r>
      <w:r w:rsidR="000C3134">
        <w:t xml:space="preserve"> (&lt;1%)</w:t>
      </w:r>
      <w:r>
        <w:t xml:space="preserve">, </w:t>
      </w:r>
      <w:r w:rsidRPr="001A3B8B">
        <w:t>associated health system efficiencies</w:t>
      </w:r>
      <w:r>
        <w:t xml:space="preserve">, and high rates of switching to second-line regimens </w:t>
      </w:r>
      <w:r w:rsidR="000C3134">
        <w:t xml:space="preserve">(68%) </w:t>
      </w:r>
      <w:r>
        <w:t>relative to other project sites.</w:t>
      </w:r>
      <w:r w:rsidR="00A921D5">
        <w:rPr>
          <w:rStyle w:val="FootnoteReference"/>
        </w:rPr>
        <w:footnoteReference w:id="3"/>
      </w:r>
      <w:r>
        <w:t xml:space="preserve"> T</w:t>
      </w:r>
      <w:r w:rsidRPr="00B66BE0">
        <w:t xml:space="preserve">he specific </w:t>
      </w:r>
      <w:r w:rsidR="0022487B">
        <w:t>diagnostic platform</w:t>
      </w:r>
      <w:r w:rsidRPr="00B66BE0">
        <w:t xml:space="preserve"> employed </w:t>
      </w:r>
      <w:r>
        <w:t>has not been taken forward by the government</w:t>
      </w:r>
      <w:r w:rsidRPr="00B66BE0">
        <w:t xml:space="preserve"> due to high costs</w:t>
      </w:r>
      <w:r w:rsidR="0022487B">
        <w:t xml:space="preserve">; however, </w:t>
      </w:r>
      <w:r>
        <w:t xml:space="preserve">the </w:t>
      </w:r>
      <w:r w:rsidRPr="00B66BE0">
        <w:t xml:space="preserve">government is supportive of POC VL testing drawing on the experiences of this project, although in a targeted rather than routine manner at present on account of costs. The MSF work has also paved the way for near-POC VL testing through </w:t>
      </w:r>
      <w:r>
        <w:t>alternative platforms</w:t>
      </w:r>
      <w:r w:rsidRPr="00B66BE0">
        <w:t xml:space="preserve"> being </w:t>
      </w:r>
      <w:r>
        <w:t>implemented</w:t>
      </w:r>
      <w:r w:rsidRPr="00B66BE0">
        <w:t xml:space="preserve"> b</w:t>
      </w:r>
      <w:r>
        <w:t xml:space="preserve">y </w:t>
      </w:r>
      <w:r w:rsidRPr="00B66BE0">
        <w:t xml:space="preserve">other </w:t>
      </w:r>
      <w:r>
        <w:t>partners</w:t>
      </w:r>
      <w:r w:rsidRPr="00B66BE0">
        <w:t>.</w:t>
      </w:r>
    </w:p>
    <w:p w14:paraId="52E147A4" w14:textId="754B444F" w:rsidR="007D418F" w:rsidRPr="00840678" w:rsidRDefault="007D418F" w:rsidP="009E0C78">
      <w:pPr>
        <w:pStyle w:val="CEPABullets"/>
      </w:pPr>
      <w:r>
        <w:rPr>
          <w:b/>
        </w:rPr>
        <w:lastRenderedPageBreak/>
        <w:t>Malawi Thyolo:</w:t>
      </w:r>
      <w:r>
        <w:t xml:space="preserve"> MSF introduced the use of dried blood</w:t>
      </w:r>
      <w:r w:rsidR="00BC6B8E">
        <w:t xml:space="preserve"> </w:t>
      </w:r>
      <w:r>
        <w:t xml:space="preserve">spot </w:t>
      </w:r>
      <w:r w:rsidR="00BC6B8E">
        <w:t>(DBS)</w:t>
      </w:r>
      <w:r>
        <w:t xml:space="preserve"> testing at a district level through the </w:t>
      </w:r>
      <w:r w:rsidR="007E0151">
        <w:t>B</w:t>
      </w:r>
      <w:r w:rsidR="00BC6B8E" w:rsidRPr="00BC6B8E">
        <w:t>ioMérieux</w:t>
      </w:r>
      <w:r w:rsidR="00BC6B8E">
        <w:t xml:space="preserve"> </w:t>
      </w:r>
      <w:r w:rsidR="00846486">
        <w:t xml:space="preserve">(BM) </w:t>
      </w:r>
      <w:r w:rsidR="00BC6B8E">
        <w:t>p</w:t>
      </w:r>
      <w:r>
        <w:t xml:space="preserve">latform, and then the Abbott </w:t>
      </w:r>
      <w:r w:rsidR="00BC6B8E">
        <w:t>p</w:t>
      </w:r>
      <w:r>
        <w:t xml:space="preserve">latform. </w:t>
      </w:r>
      <w:r w:rsidRPr="00840678">
        <w:t>The project worked well,</w:t>
      </w:r>
      <w:r w:rsidRPr="00265CC9">
        <w:t xml:space="preserve"> demonstrat</w:t>
      </w:r>
      <w:r>
        <w:t>ing</w:t>
      </w:r>
      <w:r w:rsidRPr="00265CC9">
        <w:t xml:space="preserve"> the feasibility of lab-based routine VL testing at the district level</w:t>
      </w:r>
      <w:r w:rsidR="009E0C78">
        <w:t xml:space="preserve"> (achieving a VL testing </w:t>
      </w:r>
      <w:r w:rsidR="009E0C78" w:rsidRPr="009E0C78">
        <w:t xml:space="preserve">coverage </w:t>
      </w:r>
      <w:r w:rsidR="009E0C78">
        <w:t xml:space="preserve">rate </w:t>
      </w:r>
      <w:r w:rsidR="009E0C78" w:rsidRPr="009E0C78">
        <w:t>of 56%</w:t>
      </w:r>
      <w:r w:rsidR="009E0C78">
        <w:t>),</w:t>
      </w:r>
      <w:r w:rsidR="009E0C78" w:rsidRPr="009E0C78">
        <w:t xml:space="preserve"> </w:t>
      </w:r>
      <w:r>
        <w:t>and</w:t>
      </w:r>
      <w:r w:rsidRPr="00840678">
        <w:t xml:space="preserve"> the adaptability of the MSF programme </w:t>
      </w:r>
      <w:r w:rsidR="00A6136B">
        <w:t xml:space="preserve">in changing diagnostic platforms </w:t>
      </w:r>
      <w:r w:rsidRPr="00840678">
        <w:t>paved the way for hand</w:t>
      </w:r>
      <w:r>
        <w:t>-</w:t>
      </w:r>
      <w:r w:rsidRPr="00840678">
        <w:t xml:space="preserve">over and government </w:t>
      </w:r>
      <w:r>
        <w:t>ownership</w:t>
      </w:r>
      <w:r w:rsidR="0022487B">
        <w:t xml:space="preserve"> which was completed in 2015</w:t>
      </w:r>
      <w:r>
        <w:t>.</w:t>
      </w:r>
      <w:r w:rsidR="00A921D5">
        <w:rPr>
          <w:rStyle w:val="FootnoteReference"/>
        </w:rPr>
        <w:footnoteReference w:id="4"/>
      </w:r>
      <w:r>
        <w:t xml:space="preserve"> The demonstration work for </w:t>
      </w:r>
      <w:r w:rsidRPr="00840678">
        <w:t>DBS</w:t>
      </w:r>
      <w:r>
        <w:t xml:space="preserve"> sample collection</w:t>
      </w:r>
      <w:r w:rsidRPr="00840678">
        <w:t xml:space="preserve"> and</w:t>
      </w:r>
      <w:r>
        <w:t xml:space="preserve"> </w:t>
      </w:r>
      <w:r w:rsidRPr="00840678">
        <w:t>linkages with community ART groups worked particularly well</w:t>
      </w:r>
      <w:r w:rsidR="00A6136B">
        <w:t xml:space="preserve"> in this case</w:t>
      </w:r>
      <w:r w:rsidRPr="00840678">
        <w:t xml:space="preserve">. </w:t>
      </w:r>
      <w:r>
        <w:t>MSF also p</w:t>
      </w:r>
      <w:r w:rsidRPr="009474BB">
        <w:t>ioneered the rental agreement model, which can improve flexibility, transparency and maintenance services.</w:t>
      </w:r>
    </w:p>
    <w:p w14:paraId="27863B0B" w14:textId="3C894A9F" w:rsidR="007D418F" w:rsidRDefault="007D418F" w:rsidP="007D418F">
      <w:pPr>
        <w:pStyle w:val="CEPABullets"/>
        <w:numPr>
          <w:ilvl w:val="0"/>
          <w:numId w:val="1"/>
        </w:numPr>
      </w:pPr>
      <w:r w:rsidRPr="004C0455">
        <w:rPr>
          <w:b/>
        </w:rPr>
        <w:t>Zimbabwe:</w:t>
      </w:r>
      <w:r>
        <w:t xml:space="preserve"> </w:t>
      </w:r>
      <w:r w:rsidR="00A6136B">
        <w:t xml:space="preserve">The MSF programme worked particularly well in Zimbabwe, where </w:t>
      </w:r>
      <w:r w:rsidRPr="00340D85">
        <w:t>MSF was a front-runner and primary supporter for VL testing</w:t>
      </w:r>
      <w:r>
        <w:t>, pioneering a number of VL cascade activities, including DBS sample collection, and increasing the number of diagnostic platforms in country to support competition between manufacturers.</w:t>
      </w:r>
      <w:r w:rsidR="009E0C78">
        <w:t xml:space="preserve"> Through these initiatives, the VL testing coverage was 91% in Buhera and 74% in Gutu district.</w:t>
      </w:r>
      <w:r w:rsidR="00A921D5">
        <w:rPr>
          <w:rStyle w:val="FootnoteReference"/>
        </w:rPr>
        <w:footnoteReference w:id="5"/>
      </w:r>
      <w:r>
        <w:t xml:space="preserve"> The MSF project was well integrated with the work of the </w:t>
      </w:r>
      <w:r w:rsidR="00B61C4F">
        <w:t>MOH</w:t>
      </w:r>
      <w:r>
        <w:t xml:space="preserve"> at both the district and national level with regard to testing, capacity building and information-sharing, which facilitated </w:t>
      </w:r>
      <w:r w:rsidR="003C6684">
        <w:t>hand-over</w:t>
      </w:r>
      <w:r>
        <w:t xml:space="preserve"> of project activities to the government.</w:t>
      </w:r>
      <w:r w:rsidRPr="0034287E">
        <w:t xml:space="preserve"> </w:t>
      </w:r>
      <w:r>
        <w:t>Significantly, r</w:t>
      </w:r>
      <w:r w:rsidRPr="0034287E">
        <w:t xml:space="preserve">espondents unanimously attributed much of the VL scale up plan (2015-2018) to the work of MSF. </w:t>
      </w:r>
    </w:p>
    <w:p w14:paraId="5F515E8F" w14:textId="7FB7EBCC" w:rsidR="00571120" w:rsidRDefault="00A6136B" w:rsidP="00A6136B">
      <w:pPr>
        <w:pStyle w:val="CEPAReportText"/>
        <w:rPr>
          <w:lang w:val="en-US"/>
        </w:rPr>
      </w:pPr>
      <w:r>
        <w:t>In summary, the case studies exhibit varying experiences across countries, based on their specific circumstance, and while particularly pivotal in the case of Zimbabwe with direct linkages with the VL scale-up plan, the MSF work has also made useful contributions in Malawi</w:t>
      </w:r>
      <w:r w:rsidRPr="00A6136B">
        <w:rPr>
          <w:lang w:val="en-US"/>
        </w:rPr>
        <w:t xml:space="preserve"> </w:t>
      </w:r>
      <w:r>
        <w:rPr>
          <w:lang w:val="en-US"/>
        </w:rPr>
        <w:t>where the demonstration work has shown that routine VL testing can be feasible and is much needed in countries</w:t>
      </w:r>
      <w:r>
        <w:t xml:space="preserve">. One driving factor for results has been the </w:t>
      </w:r>
      <w:r>
        <w:rPr>
          <w:lang w:val="en-US"/>
        </w:rPr>
        <w:t>the degree to which MSF has engaged with government stakeholders as well as with CSOs and other community bodies (such as the CAGs) which have supported demand creation and efficiency</w:t>
      </w:r>
      <w:r w:rsidR="00BA7E10">
        <w:rPr>
          <w:lang w:val="en-US"/>
        </w:rPr>
        <w:t>, which was noted as a particular focus in Zimbabwe</w:t>
      </w:r>
      <w:r>
        <w:rPr>
          <w:lang w:val="en-US"/>
        </w:rPr>
        <w:t>.</w:t>
      </w:r>
    </w:p>
    <w:p w14:paraId="192712F1" w14:textId="766F9F08" w:rsidR="00BA7E10" w:rsidRDefault="00BA7E10" w:rsidP="00BA7E10">
      <w:pPr>
        <w:pStyle w:val="CEPAReportText"/>
        <w:rPr>
          <w:lang w:val="en-US"/>
        </w:rPr>
      </w:pPr>
      <w:r>
        <w:rPr>
          <w:lang w:val="en-US"/>
        </w:rPr>
        <w:t xml:space="preserve">These varying country experiences have been due to differing country contexts and the suitability of the diagnostic technology and testing plan within these settings, and therefore lack of full hand-over at the end of the MSF project need not be viewed as an issue per se (as also discussed further below). Indeed, the main benefit of the MSF project across all three countries has been its demonstration work that has shown that routine VL testing can be feasible and is much needed in countries. </w:t>
      </w:r>
    </w:p>
    <w:p w14:paraId="6F7FE4C9" w14:textId="77777777" w:rsidR="007D418F" w:rsidRDefault="007D418F" w:rsidP="007D418F">
      <w:pPr>
        <w:pStyle w:val="Heading4"/>
      </w:pPr>
      <w:r w:rsidRPr="140672CF">
        <w:t>Impact and sustainability</w:t>
      </w:r>
    </w:p>
    <w:p w14:paraId="1878DCF9" w14:textId="6535EE3C" w:rsidR="007D418F" w:rsidRDefault="007D418F" w:rsidP="007D418F">
      <w:pPr>
        <w:pStyle w:val="CEPAReportText"/>
      </w:pPr>
      <w:r>
        <w:t>We consider the extent to which the project has contributed to addressing critical access barriers</w:t>
      </w:r>
      <w:r w:rsidR="00193964">
        <w:t xml:space="preserve"> as defined in Unitaid’s latest strategy</w:t>
      </w:r>
      <w:r>
        <w:t xml:space="preserve"> including with regards to policy development, the public health impact </w:t>
      </w:r>
      <w:r w:rsidR="00571120">
        <w:t xml:space="preserve">(direct and </w:t>
      </w:r>
      <w:r w:rsidR="001049D8">
        <w:t>indirect</w:t>
      </w:r>
      <w:r w:rsidR="00571120">
        <w:t>), s</w:t>
      </w:r>
      <w:r>
        <w:t>ustainability of project sites and overall prospects for scalability.</w:t>
      </w:r>
    </w:p>
    <w:p w14:paraId="6FC1E9F0" w14:textId="77777777" w:rsidR="007D418F" w:rsidRPr="00D13252" w:rsidRDefault="007D418F" w:rsidP="007D418F">
      <w:pPr>
        <w:pStyle w:val="CEPAReportText"/>
        <w:rPr>
          <w:rFonts w:eastAsia="Calibri" w:cs="Calibri"/>
          <w:b/>
          <w:i/>
        </w:rPr>
      </w:pPr>
      <w:r w:rsidRPr="00D11C72">
        <w:rPr>
          <w:rFonts w:eastAsia="Calibri" w:cs="Calibri"/>
          <w:b/>
          <w:i/>
        </w:rPr>
        <w:t>Addressing access and policy barriers</w:t>
      </w:r>
    </w:p>
    <w:p w14:paraId="77276B5A" w14:textId="3E4E50F5" w:rsidR="004E63CE" w:rsidRDefault="004E63CE" w:rsidP="004E63CE">
      <w:pPr>
        <w:pStyle w:val="CEPAReportText"/>
      </w:pPr>
      <w:r>
        <w:t xml:space="preserve">Unitaid’s latest strategy defines the main attributes of an effective market in relation to the following – innovation and availability, quality, affordability, demand and adoption, and supply and delivery. Barriers to access relate to those that impede these attributes. In our assessment of the project’s impact, we view its main contribution as having been towards reducing the barriers related to demand specifically, and also to some extent with regards to the supply and delivery of diagnostic platforms and models of care, albeit on a pilot basis. </w:t>
      </w:r>
    </w:p>
    <w:p w14:paraId="5D84AB2E" w14:textId="1494AC69" w:rsidR="004E63CE" w:rsidRDefault="004E63CE" w:rsidP="004E63CE">
      <w:pPr>
        <w:pStyle w:val="CEPAReportText"/>
        <w:rPr>
          <w:rFonts w:eastAsia="Calibri"/>
        </w:rPr>
      </w:pPr>
      <w:r>
        <w:t xml:space="preserve">With regards to </w:t>
      </w:r>
      <w:r w:rsidRPr="00A601A8">
        <w:t>encouraging demand, the project has made an important contribution to global policy development</w:t>
      </w:r>
      <w:r>
        <w:t xml:space="preserve"> in terms of supporting the development of WHO guidelines, as </w:t>
      </w:r>
      <w:r w:rsidR="00193964">
        <w:t>intimated</w:t>
      </w:r>
      <w:r>
        <w:t xml:space="preserve"> directly by WHO. In particular, the project contributed to the </w:t>
      </w:r>
      <w:r>
        <w:rPr>
          <w:rFonts w:eastAsia="Calibri"/>
        </w:rPr>
        <w:t>WHO guidelines for ART treatment and monitoring through its provision of clinical data and examples of best practice on laboratory work and programmatic considerations relating to routine VL monitoring</w:t>
      </w:r>
      <w:r w:rsidRPr="007C4346">
        <w:rPr>
          <w:rFonts w:eastAsia="Calibri"/>
        </w:rPr>
        <w:t>.</w:t>
      </w:r>
      <w:r>
        <w:rPr>
          <w:rFonts w:eastAsia="Calibri"/>
        </w:rPr>
        <w:t xml:space="preserve"> MSF’s </w:t>
      </w:r>
      <w:r w:rsidRPr="003D291E">
        <w:rPr>
          <w:rFonts w:eastAsia="Calibri"/>
        </w:rPr>
        <w:t xml:space="preserve">studies looking at the performance of </w:t>
      </w:r>
      <w:r>
        <w:rPr>
          <w:rFonts w:eastAsia="Calibri"/>
        </w:rPr>
        <w:t>DBS</w:t>
      </w:r>
      <w:r w:rsidRPr="003D291E">
        <w:rPr>
          <w:rFonts w:eastAsia="Calibri"/>
        </w:rPr>
        <w:t xml:space="preserve"> specimens contributed to </w:t>
      </w:r>
      <w:r>
        <w:rPr>
          <w:rFonts w:eastAsia="Calibri"/>
        </w:rPr>
        <w:t>WHO’s</w:t>
      </w:r>
      <w:r w:rsidRPr="003D291E">
        <w:rPr>
          <w:rFonts w:eastAsia="Calibri"/>
        </w:rPr>
        <w:t xml:space="preserve"> understanding of the best threshold for </w:t>
      </w:r>
      <w:r>
        <w:rPr>
          <w:rFonts w:eastAsia="Calibri"/>
        </w:rPr>
        <w:t xml:space="preserve">that specimen type and created </w:t>
      </w:r>
      <w:r w:rsidRPr="003D291E">
        <w:rPr>
          <w:rFonts w:eastAsia="Calibri"/>
        </w:rPr>
        <w:t>a consistent threshold across specimens</w:t>
      </w:r>
      <w:r>
        <w:rPr>
          <w:rFonts w:eastAsia="Calibri"/>
        </w:rPr>
        <w:t xml:space="preserve">, and </w:t>
      </w:r>
      <w:r w:rsidRPr="002767BF">
        <w:rPr>
          <w:rFonts w:eastAsia="Calibri"/>
        </w:rPr>
        <w:t>MSF</w:t>
      </w:r>
      <w:r>
        <w:rPr>
          <w:rFonts w:eastAsia="Calibri"/>
        </w:rPr>
        <w:t>’s cons</w:t>
      </w:r>
      <w:r w:rsidRPr="002767BF">
        <w:rPr>
          <w:rFonts w:eastAsia="Calibri"/>
        </w:rPr>
        <w:t>istent review</w:t>
      </w:r>
      <w:r>
        <w:rPr>
          <w:rFonts w:eastAsia="Calibri"/>
        </w:rPr>
        <w:t xml:space="preserve"> of</w:t>
      </w:r>
      <w:r w:rsidRPr="002767BF">
        <w:rPr>
          <w:rFonts w:eastAsia="Calibri"/>
        </w:rPr>
        <w:t xml:space="preserve"> the WHO algorithm</w:t>
      </w:r>
      <w:r>
        <w:rPr>
          <w:rFonts w:eastAsia="Calibri"/>
        </w:rPr>
        <w:t xml:space="preserve"> has assisted the consideration of changes by WHO. The project also provided valuable evidence to the WHO on the importance of CD4 testing for complex and advanced HIV cases.</w:t>
      </w:r>
    </w:p>
    <w:p w14:paraId="4C3BE2EE" w14:textId="762075EE" w:rsidR="007D418F" w:rsidRPr="00A601A8" w:rsidRDefault="004E63CE" w:rsidP="00431D97">
      <w:pPr>
        <w:pStyle w:val="CEPAReportText"/>
        <w:rPr>
          <w:rFonts w:eastAsia="Calibri"/>
        </w:rPr>
      </w:pPr>
      <w:r>
        <w:rPr>
          <w:rFonts w:eastAsia="Calibri"/>
        </w:rPr>
        <w:t xml:space="preserve">With regards to demand </w:t>
      </w:r>
      <w:r w:rsidRPr="00A601A8">
        <w:rPr>
          <w:rFonts w:eastAsia="Calibri"/>
        </w:rPr>
        <w:t>generation by supporting national policy development, the impact of the MSF project has also bee</w:t>
      </w:r>
      <w:r>
        <w:rPr>
          <w:rFonts w:eastAsia="Calibri"/>
        </w:rPr>
        <w:t xml:space="preserve">n important, although varied in significance by country. </w:t>
      </w:r>
      <w:r w:rsidR="00431D97">
        <w:rPr>
          <w:rFonts w:eastAsia="Calibri"/>
        </w:rPr>
        <w:t xml:space="preserve">Following on from the country case studies described above, the policy significance of MSF’s work in Zimbabwe has been particularly strong. </w:t>
      </w:r>
      <w:r w:rsidR="00431D97" w:rsidRPr="00431D97">
        <w:t>In</w:t>
      </w:r>
      <w:r w:rsidR="00431D97">
        <w:t xml:space="preserve"> particular, in </w:t>
      </w:r>
      <w:r w:rsidR="00431D97" w:rsidRPr="00431D97">
        <w:t>Zimbabwe, evidence generated through the project provided significant input for both the National HIV Viral Load Scale-Up Plan (2015-2018) and the VL component of the Operational and Service Delivery Manual for the Prevention, Care and Treatment for HIV (2015).</w:t>
      </w:r>
      <w:r w:rsidR="00431D97">
        <w:t xml:space="preserve"> There have also been important </w:t>
      </w:r>
      <w:r w:rsidR="00CF39A7">
        <w:t xml:space="preserve">specific </w:t>
      </w:r>
      <w:r w:rsidR="00431D97">
        <w:t>policy influences in Malawi, where for example e</w:t>
      </w:r>
      <w:r w:rsidR="007D418F">
        <w:rPr>
          <w:rFonts w:eastAsia="Calibri"/>
        </w:rPr>
        <w:t xml:space="preserve">vidence generated through the project supported the adoption of  national level </w:t>
      </w:r>
      <w:r w:rsidR="007D418F" w:rsidRPr="0096561A">
        <w:rPr>
          <w:rFonts w:eastAsia="Calibri"/>
        </w:rPr>
        <w:t xml:space="preserve">finger-prick DBS testing for routine </w:t>
      </w:r>
      <w:r w:rsidR="007D418F">
        <w:rPr>
          <w:rFonts w:eastAsia="Calibri"/>
        </w:rPr>
        <w:t>VL</w:t>
      </w:r>
      <w:r w:rsidR="007D418F" w:rsidRPr="0096561A">
        <w:rPr>
          <w:rFonts w:eastAsia="Calibri"/>
        </w:rPr>
        <w:t xml:space="preserve"> testing</w:t>
      </w:r>
      <w:r w:rsidR="007D418F">
        <w:rPr>
          <w:rFonts w:eastAsia="Calibri"/>
        </w:rPr>
        <w:t xml:space="preserve"> and POC targeted testing for patients at higher risk of virological failure</w:t>
      </w:r>
      <w:r w:rsidR="00CF39A7">
        <w:rPr>
          <w:rFonts w:eastAsia="Calibri"/>
        </w:rPr>
        <w:t>;</w:t>
      </w:r>
      <w:r w:rsidR="007D418F">
        <w:rPr>
          <w:rFonts w:eastAsia="Calibri"/>
        </w:rPr>
        <w:t xml:space="preserve"> </w:t>
      </w:r>
      <w:r w:rsidR="007D418F" w:rsidRPr="003056EE">
        <w:rPr>
          <w:rFonts w:eastAsia="Calibri"/>
        </w:rPr>
        <w:t>influenced the</w:t>
      </w:r>
      <w:r w:rsidR="007D418F">
        <w:rPr>
          <w:rFonts w:eastAsia="Calibri"/>
        </w:rPr>
        <w:t xml:space="preserve"> revision of the</w:t>
      </w:r>
      <w:r w:rsidR="007D418F" w:rsidRPr="003056EE">
        <w:rPr>
          <w:rFonts w:eastAsia="Calibri"/>
        </w:rPr>
        <w:t xml:space="preserve"> national </w:t>
      </w:r>
      <w:r w:rsidR="00B83E63">
        <w:rPr>
          <w:rFonts w:eastAsia="Calibri"/>
        </w:rPr>
        <w:t>VL</w:t>
      </w:r>
      <w:r w:rsidR="007D418F" w:rsidRPr="003056EE">
        <w:rPr>
          <w:rFonts w:eastAsia="Calibri"/>
        </w:rPr>
        <w:t xml:space="preserve"> threshold for second-line regimen switching</w:t>
      </w:r>
      <w:r w:rsidR="007D418F">
        <w:rPr>
          <w:rFonts w:eastAsia="Calibri"/>
        </w:rPr>
        <w:t xml:space="preserve"> to </w:t>
      </w:r>
      <w:r w:rsidR="007D418F" w:rsidRPr="00DA779B">
        <w:rPr>
          <w:rFonts w:eastAsia="Calibri"/>
        </w:rPr>
        <w:t>&gt;1000ml/copies</w:t>
      </w:r>
      <w:r w:rsidR="00CF39A7">
        <w:rPr>
          <w:rFonts w:eastAsia="Calibri"/>
        </w:rPr>
        <w:t>;</w:t>
      </w:r>
      <w:r w:rsidR="007D418F">
        <w:rPr>
          <w:rFonts w:eastAsia="Calibri"/>
        </w:rPr>
        <w:t xml:space="preserve"> encouraged task-shifting for DBS sample collection and second-line initiation to lower cadres</w:t>
      </w:r>
      <w:r w:rsidR="00CF39A7">
        <w:rPr>
          <w:rFonts w:eastAsia="Calibri"/>
        </w:rPr>
        <w:t>;</w:t>
      </w:r>
      <w:r w:rsidR="007D418F">
        <w:rPr>
          <w:rFonts w:eastAsia="Calibri"/>
        </w:rPr>
        <w:t xml:space="preserve"> and promoted the community ART group treatment model for improved adherence, efficiency </w:t>
      </w:r>
      <w:r w:rsidR="007D418F" w:rsidRPr="00A601A8">
        <w:rPr>
          <w:rFonts w:eastAsia="Calibri"/>
        </w:rPr>
        <w:t xml:space="preserve">and community empowerment.  </w:t>
      </w:r>
    </w:p>
    <w:p w14:paraId="307DAA71" w14:textId="0CD24EF3" w:rsidR="007D418F" w:rsidRPr="00A601A8" w:rsidRDefault="00193964" w:rsidP="00193964">
      <w:pPr>
        <w:pStyle w:val="CEPAReportText"/>
        <w:rPr>
          <w:rFonts w:eastAsia="Calibri"/>
        </w:rPr>
      </w:pPr>
      <w:r w:rsidRPr="00A601A8">
        <w:rPr>
          <w:rFonts w:eastAsia="Calibri"/>
        </w:rPr>
        <w:t xml:space="preserve">The project has also supported demand generation through working </w:t>
      </w:r>
      <w:r w:rsidR="007D418F" w:rsidRPr="00A601A8">
        <w:rPr>
          <w:rFonts w:eastAsia="Calibri"/>
        </w:rPr>
        <w:t xml:space="preserve">with CSOs, health workers (especially regarding capacity building) and beneficiaries, although this varied by country </w:t>
      </w:r>
      <w:r w:rsidRPr="00A601A8">
        <w:rPr>
          <w:rFonts w:eastAsia="Calibri"/>
        </w:rPr>
        <w:t>(as also noted previously</w:t>
      </w:r>
      <w:r w:rsidR="001049D8">
        <w:rPr>
          <w:rFonts w:eastAsia="Calibri"/>
        </w:rPr>
        <w:t>)</w:t>
      </w:r>
      <w:r w:rsidR="007D418F" w:rsidRPr="00A601A8">
        <w:rPr>
          <w:rFonts w:eastAsia="Calibri"/>
        </w:rPr>
        <w:t>.</w:t>
      </w:r>
    </w:p>
    <w:p w14:paraId="0B56B29F" w14:textId="2F1BCEFA" w:rsidR="007D418F" w:rsidRPr="00193964" w:rsidRDefault="007D418F" w:rsidP="007D418F">
      <w:pPr>
        <w:pStyle w:val="CEPAReportText"/>
      </w:pPr>
      <w:r w:rsidRPr="00A601A8">
        <w:rPr>
          <w:rFonts w:eastAsia="Calibri" w:cs="Calibri"/>
        </w:rPr>
        <w:t>With regard</w:t>
      </w:r>
      <w:r w:rsidR="00E71252" w:rsidRPr="00A601A8">
        <w:rPr>
          <w:rFonts w:eastAsia="Calibri" w:cs="Calibri"/>
        </w:rPr>
        <w:t>s</w:t>
      </w:r>
      <w:r w:rsidRPr="00A601A8">
        <w:rPr>
          <w:rFonts w:eastAsia="Calibri" w:cs="Calibri"/>
        </w:rPr>
        <w:t xml:space="preserve"> to </w:t>
      </w:r>
      <w:r w:rsidR="001049D8">
        <w:rPr>
          <w:rFonts w:eastAsia="Calibri" w:cs="Calibri"/>
        </w:rPr>
        <w:t xml:space="preserve">enabling </w:t>
      </w:r>
      <w:r w:rsidR="00E71252" w:rsidRPr="00A601A8">
        <w:rPr>
          <w:rFonts w:eastAsia="Calibri" w:cs="Calibri"/>
        </w:rPr>
        <w:t xml:space="preserve">supply and delivery, the MSF project has had an impact through procuring and </w:t>
      </w:r>
      <w:r w:rsidR="001049D8">
        <w:rPr>
          <w:rFonts w:eastAsia="Calibri" w:cs="Calibri"/>
        </w:rPr>
        <w:t>delivering</w:t>
      </w:r>
      <w:r w:rsidR="00E71252" w:rsidRPr="00A601A8">
        <w:rPr>
          <w:rFonts w:eastAsia="Calibri" w:cs="Calibri"/>
        </w:rPr>
        <w:t xml:space="preserve"> HIV </w:t>
      </w:r>
      <w:r w:rsidR="00193964" w:rsidRPr="00A601A8">
        <w:rPr>
          <w:rFonts w:eastAsia="Calibri" w:cs="Calibri"/>
        </w:rPr>
        <w:t>diagnostic and monitoring platforms</w:t>
      </w:r>
      <w:r w:rsidR="00E71252" w:rsidRPr="00A601A8">
        <w:rPr>
          <w:rFonts w:eastAsia="Calibri" w:cs="Calibri"/>
        </w:rPr>
        <w:t xml:space="preserve"> in countries</w:t>
      </w:r>
      <w:r w:rsidR="00193964" w:rsidRPr="00A601A8">
        <w:rPr>
          <w:rFonts w:eastAsia="Calibri" w:cs="Calibri"/>
        </w:rPr>
        <w:t>, albeit on a small/ pilot scale</w:t>
      </w:r>
      <w:r w:rsidR="00E71252" w:rsidRPr="00A601A8">
        <w:rPr>
          <w:rFonts w:eastAsia="Calibri" w:cs="Calibri"/>
        </w:rPr>
        <w:t xml:space="preserve">. </w:t>
      </w:r>
      <w:r w:rsidRPr="00A601A8">
        <w:t>In terms of other access barriers, affordability continues to be a major challenge, with persistently high prices for VL consumables, in</w:t>
      </w:r>
      <w:r w:rsidRPr="00193964">
        <w:t xml:space="preserve"> particular.</w:t>
      </w:r>
    </w:p>
    <w:p w14:paraId="180F3BF4" w14:textId="77777777" w:rsidR="007D418F" w:rsidRPr="00D13252" w:rsidRDefault="007D418F" w:rsidP="007D418F">
      <w:pPr>
        <w:pStyle w:val="CEPAReportText"/>
        <w:rPr>
          <w:rFonts w:eastAsia="Calibri" w:cs="Calibri"/>
          <w:b/>
          <w:i/>
        </w:rPr>
      </w:pPr>
      <w:r>
        <w:rPr>
          <w:rFonts w:eastAsia="Calibri" w:cs="Calibri"/>
          <w:b/>
          <w:i/>
        </w:rPr>
        <w:t>Public health impact</w:t>
      </w:r>
    </w:p>
    <w:p w14:paraId="58E0155A" w14:textId="77777777" w:rsidR="001049D8" w:rsidRDefault="00D74858" w:rsidP="00D74858">
      <w:pPr>
        <w:pStyle w:val="CEPAReportText"/>
        <w:rPr>
          <w:rFonts w:eastAsia="Calibri" w:cs="Calibri"/>
        </w:rPr>
      </w:pPr>
      <w:r>
        <w:rPr>
          <w:rFonts w:eastAsia="Calibri" w:cs="Calibri"/>
        </w:rPr>
        <w:t xml:space="preserve">The MSF project has had an important public health </w:t>
      </w:r>
      <w:r w:rsidRPr="00A601A8">
        <w:rPr>
          <w:rFonts w:eastAsia="Calibri" w:cs="Calibri"/>
        </w:rPr>
        <w:t xml:space="preserve">impact by increasing access to VL monitoring in resource-constrained settings. </w:t>
      </w:r>
      <w:r w:rsidR="007D418F" w:rsidRPr="00A601A8">
        <w:rPr>
          <w:rFonts w:eastAsia="Calibri" w:cs="Calibri"/>
        </w:rPr>
        <w:t>Across seven sites with 2016 available data, the percentage of coverage of VL testing was 44% overall, of which</w:t>
      </w:r>
      <w:r w:rsidR="007D418F" w:rsidRPr="00F07883">
        <w:rPr>
          <w:rFonts w:eastAsia="Calibri" w:cs="Calibri"/>
        </w:rPr>
        <w:t xml:space="preserve"> 33% was covered by MSF</w:t>
      </w:r>
      <w:r w:rsidR="007D418F">
        <w:rPr>
          <w:rFonts w:eastAsia="Calibri" w:cs="Calibri"/>
        </w:rPr>
        <w:t>.</w:t>
      </w:r>
      <w:r w:rsidR="004B356E">
        <w:rPr>
          <w:rStyle w:val="FootnoteReference"/>
          <w:rFonts w:eastAsia="Calibri" w:cs="Calibri"/>
        </w:rPr>
        <w:footnoteReference w:id="6"/>
      </w:r>
      <w:r w:rsidR="007D418F" w:rsidRPr="00816A5F">
        <w:rPr>
          <w:rFonts w:eastAsia="Calibri" w:cs="Calibri"/>
        </w:rPr>
        <w:t xml:space="preserve"> </w:t>
      </w:r>
    </w:p>
    <w:p w14:paraId="0E4BB684" w14:textId="279FF0F1" w:rsidR="00D74858" w:rsidRDefault="00D74858" w:rsidP="00D74858">
      <w:pPr>
        <w:pStyle w:val="CEPAReportText"/>
        <w:rPr>
          <w:rFonts w:eastAsia="Calibri" w:cs="Calibri"/>
        </w:rPr>
      </w:pPr>
      <w:r>
        <w:rPr>
          <w:rFonts w:eastAsia="Calibri" w:cs="Calibri"/>
        </w:rPr>
        <w:t xml:space="preserve">Notwithstanding the many benefits of the increased coverage, the rate of switch </w:t>
      </w:r>
      <w:r w:rsidRPr="00816A5F">
        <w:rPr>
          <w:rFonts w:eastAsia="Calibri" w:cs="Calibri"/>
        </w:rPr>
        <w:t xml:space="preserve">to </w:t>
      </w:r>
      <w:r>
        <w:rPr>
          <w:rFonts w:eastAsia="Calibri" w:cs="Calibri"/>
        </w:rPr>
        <w:t>second-line treatment</w:t>
      </w:r>
      <w:r w:rsidRPr="00816A5F">
        <w:rPr>
          <w:rFonts w:eastAsia="Calibri" w:cs="Calibri"/>
        </w:rPr>
        <w:t xml:space="preserve"> has not been as </w:t>
      </w:r>
      <w:r>
        <w:rPr>
          <w:rFonts w:eastAsia="Calibri" w:cs="Calibri"/>
        </w:rPr>
        <w:t>extensive</w:t>
      </w:r>
      <w:r w:rsidRPr="00816A5F">
        <w:rPr>
          <w:rFonts w:eastAsia="Calibri" w:cs="Calibri"/>
        </w:rPr>
        <w:t xml:space="preserve"> as expected</w:t>
      </w:r>
      <w:r>
        <w:rPr>
          <w:rFonts w:eastAsia="Calibri" w:cs="Calibri"/>
        </w:rPr>
        <w:t xml:space="preserve"> with 4,839 (30% of target) ART patients being switched.</w:t>
      </w:r>
      <w:r>
        <w:rPr>
          <w:rStyle w:val="FootnoteReference"/>
          <w:rFonts w:eastAsia="Calibri" w:cs="Calibri"/>
        </w:rPr>
        <w:footnoteReference w:id="7"/>
      </w:r>
      <w:r w:rsidRPr="00D74858">
        <w:rPr>
          <w:rFonts w:eastAsia="Calibri" w:cs="Calibri"/>
        </w:rPr>
        <w:t xml:space="preserve"> </w:t>
      </w:r>
      <w:r>
        <w:rPr>
          <w:rFonts w:eastAsia="Calibri" w:cs="Calibri"/>
        </w:rPr>
        <w:t>This reflected a number of factors, including insufficient confidence among clinicians, centralisation of decision-making on switches, and the limited availability and relative expense of second line drugs. Whilst strategies were employed by MSF to combat the low switching rate, the lower than planned achievement has reduced the ultimate public health impact of the project. Further, switching to</w:t>
      </w:r>
      <w:r w:rsidRPr="002767BF">
        <w:rPr>
          <w:rFonts w:eastAsia="Calibri" w:cs="Calibri"/>
        </w:rPr>
        <w:t xml:space="preserve"> seco</w:t>
      </w:r>
      <w:r>
        <w:rPr>
          <w:rFonts w:eastAsia="Calibri" w:cs="Calibri"/>
        </w:rPr>
        <w:t>nd-</w:t>
      </w:r>
      <w:r w:rsidRPr="002767BF">
        <w:rPr>
          <w:rFonts w:eastAsia="Calibri" w:cs="Calibri"/>
        </w:rPr>
        <w:t xml:space="preserve">line </w:t>
      </w:r>
      <w:r>
        <w:rPr>
          <w:rFonts w:eastAsia="Calibri" w:cs="Calibri"/>
        </w:rPr>
        <w:t xml:space="preserve">treatment </w:t>
      </w:r>
      <w:r w:rsidRPr="002767BF">
        <w:rPr>
          <w:rFonts w:eastAsia="Calibri" w:cs="Calibri"/>
        </w:rPr>
        <w:t xml:space="preserve">was not a direct focus of the project, and </w:t>
      </w:r>
      <w:r>
        <w:rPr>
          <w:rFonts w:eastAsia="Calibri" w:cs="Calibri"/>
        </w:rPr>
        <w:t xml:space="preserve">consultations indicated that </w:t>
      </w:r>
      <w:r w:rsidRPr="002767BF">
        <w:rPr>
          <w:rFonts w:eastAsia="Calibri" w:cs="Calibri"/>
        </w:rPr>
        <w:t>it mi</w:t>
      </w:r>
      <w:r>
        <w:rPr>
          <w:rFonts w:eastAsia="Calibri" w:cs="Calibri"/>
        </w:rPr>
        <w:t xml:space="preserve">ght have been helpful to have this focus at the outset for greater linkages with results. </w:t>
      </w:r>
    </w:p>
    <w:p w14:paraId="077B3CFC" w14:textId="6D6AD265" w:rsidR="002D6144" w:rsidRDefault="00D74858" w:rsidP="002E3798">
      <w:pPr>
        <w:pStyle w:val="CEPAReportText"/>
        <w:rPr>
          <w:rFonts w:eastAsia="Calibri" w:cs="Calibri"/>
        </w:rPr>
      </w:pPr>
      <w:r>
        <w:rPr>
          <w:rFonts w:eastAsia="Calibri" w:cs="Calibri"/>
        </w:rPr>
        <w:t>Based on the available project data and drawing on key research studies, we have also estimated the public health impact of the</w:t>
      </w:r>
      <w:r w:rsidR="002E3798">
        <w:rPr>
          <w:rFonts w:eastAsia="Calibri" w:cs="Calibri"/>
        </w:rPr>
        <w:t xml:space="preserve"> VL monitoring component of the</w:t>
      </w:r>
      <w:r>
        <w:rPr>
          <w:rFonts w:eastAsia="Calibri" w:cs="Calibri"/>
        </w:rPr>
        <w:t xml:space="preserve"> project in terms of deaths averted – both direct (i.e. through the project) and indirect (i.e. assuming scale up on routine VL coverage in project countries).</w:t>
      </w:r>
      <w:r w:rsidR="002E3798">
        <w:rPr>
          <w:rFonts w:eastAsia="Calibri" w:cs="Calibri"/>
        </w:rPr>
        <w:t xml:space="preserve"> This estimation should be </w:t>
      </w:r>
      <w:r w:rsidR="00CB4D8A" w:rsidRPr="00CB4D8A">
        <w:rPr>
          <w:rFonts w:eastAsia="Calibri" w:cs="Calibri"/>
        </w:rPr>
        <w:t>interpreted with caution as it is based on crude data and assumptions.</w:t>
      </w:r>
      <w:r w:rsidR="002E3798">
        <w:rPr>
          <w:rStyle w:val="FootnoteReference"/>
          <w:rFonts w:eastAsia="Calibri" w:cs="Calibri"/>
        </w:rPr>
        <w:footnoteReference w:id="8"/>
      </w:r>
      <w:r w:rsidR="00CB4D8A">
        <w:rPr>
          <w:rFonts w:eastAsia="Calibri" w:cs="Calibri"/>
        </w:rPr>
        <w:t xml:space="preserve"> </w:t>
      </w:r>
      <w:r w:rsidR="000D623C">
        <w:rPr>
          <w:rFonts w:eastAsia="Calibri" w:cs="Calibri"/>
        </w:rPr>
        <w:t>Regarding direct impact, w</w:t>
      </w:r>
      <w:r w:rsidR="004B7CD6" w:rsidRPr="004B7CD6">
        <w:rPr>
          <w:rFonts w:eastAsia="Calibri" w:cs="Calibri"/>
        </w:rPr>
        <w:t>e estimate that: (i) through the impact of switching patients to second line regimen, an additional 363 deaths were averted after one year</w:t>
      </w:r>
      <w:r w:rsidR="00CB4D8A">
        <w:rPr>
          <w:rFonts w:eastAsia="Calibri" w:cs="Calibri"/>
        </w:rPr>
        <w:t>;</w:t>
      </w:r>
      <w:r w:rsidR="004B7CD6" w:rsidRPr="004B7CD6">
        <w:rPr>
          <w:rFonts w:eastAsia="Calibri" w:cs="Calibri"/>
        </w:rPr>
        <w:t xml:space="preserve"> and (ii) through the impact of increasing VL coverage testing (</w:t>
      </w:r>
      <w:r w:rsidR="002E3798">
        <w:rPr>
          <w:rFonts w:eastAsia="Calibri" w:cs="Calibri"/>
        </w:rPr>
        <w:t xml:space="preserve">i.e. </w:t>
      </w:r>
      <w:r w:rsidR="004B7CD6" w:rsidRPr="004B7CD6">
        <w:rPr>
          <w:rFonts w:eastAsia="Calibri" w:cs="Calibri"/>
        </w:rPr>
        <w:t xml:space="preserve">beyond just switching to second line regimen), we estimate that 2,579 </w:t>
      </w:r>
      <w:r w:rsidR="00FA6FC6">
        <w:t xml:space="preserve">(CI 2,192 – 2,708) </w:t>
      </w:r>
      <w:r w:rsidR="004B7CD6" w:rsidRPr="004B7CD6">
        <w:rPr>
          <w:rFonts w:eastAsia="Calibri" w:cs="Calibri"/>
        </w:rPr>
        <w:t>deaths will be averted after three years, in comparison to VL testing coverage not having been scaled u</w:t>
      </w:r>
      <w:r w:rsidR="000D623C">
        <w:rPr>
          <w:rFonts w:eastAsia="Calibri" w:cs="Calibri"/>
        </w:rPr>
        <w:t>p.</w:t>
      </w:r>
      <w:r w:rsidR="004B7CD6" w:rsidRPr="004B7CD6">
        <w:rPr>
          <w:rFonts w:eastAsia="Calibri" w:cs="Calibri"/>
        </w:rPr>
        <w:t xml:space="preserve"> </w:t>
      </w:r>
      <w:r w:rsidR="00CB4D8A">
        <w:rPr>
          <w:rFonts w:eastAsia="Calibri" w:cs="Calibri"/>
        </w:rPr>
        <w:t xml:space="preserve">Regarding the indirect </w:t>
      </w:r>
      <w:r w:rsidR="004B7CD6">
        <w:rPr>
          <w:rFonts w:eastAsia="Calibri" w:cs="Calibri"/>
        </w:rPr>
        <w:t>impact of the project,</w:t>
      </w:r>
      <w:r w:rsidR="004B7CD6" w:rsidRPr="004B7CD6">
        <w:rPr>
          <w:rFonts w:eastAsia="Calibri" w:cs="Calibri"/>
        </w:rPr>
        <w:t xml:space="preserve"> it is estimated that if VL testing is scaled up to the level of South Africa’s routine VL coverage</w:t>
      </w:r>
      <w:r w:rsidR="002D0EDA">
        <w:rPr>
          <w:rFonts w:eastAsia="Calibri" w:cs="Calibri"/>
        </w:rPr>
        <w:t xml:space="preserve"> in project countries</w:t>
      </w:r>
      <w:r w:rsidR="002E3798">
        <w:rPr>
          <w:rFonts w:eastAsia="Calibri" w:cs="Calibri"/>
        </w:rPr>
        <w:t xml:space="preserve"> (i.e. as a proxy for high coverage levels)</w:t>
      </w:r>
      <w:r w:rsidR="004B7CD6" w:rsidRPr="004B7CD6">
        <w:rPr>
          <w:rFonts w:eastAsia="Calibri" w:cs="Calibri"/>
        </w:rPr>
        <w:t xml:space="preserve">, 82,000 </w:t>
      </w:r>
      <w:r w:rsidR="00FA6FC6">
        <w:rPr>
          <w:rFonts w:eastAsia="Calibri" w:cs="Calibri"/>
        </w:rPr>
        <w:t>(</w:t>
      </w:r>
      <w:r w:rsidR="00FA6FC6">
        <w:t>CI 69,700</w:t>
      </w:r>
      <w:r w:rsidR="00336FE8">
        <w:t xml:space="preserve"> </w:t>
      </w:r>
      <w:r w:rsidR="00FA6FC6">
        <w:t>-</w:t>
      </w:r>
      <w:r w:rsidR="00336FE8">
        <w:t xml:space="preserve"> </w:t>
      </w:r>
      <w:r w:rsidR="00FA6FC6">
        <w:t xml:space="preserve">86,100) </w:t>
      </w:r>
      <w:r w:rsidR="004B7CD6" w:rsidRPr="004B7CD6">
        <w:rPr>
          <w:rFonts w:eastAsia="Calibri" w:cs="Calibri"/>
        </w:rPr>
        <w:t xml:space="preserve">additional deaths will be averted in </w:t>
      </w:r>
      <w:r w:rsidR="004B7CD6">
        <w:rPr>
          <w:rFonts w:eastAsia="Calibri" w:cs="Calibri"/>
        </w:rPr>
        <w:t>three years</w:t>
      </w:r>
      <w:r w:rsidR="00CB4D8A">
        <w:rPr>
          <w:rFonts w:eastAsia="Calibri" w:cs="Calibri"/>
        </w:rPr>
        <w:t>, in</w:t>
      </w:r>
      <w:r w:rsidR="004B7CD6">
        <w:rPr>
          <w:rFonts w:eastAsia="Calibri" w:cs="Calibri"/>
        </w:rPr>
        <w:t xml:space="preserve"> </w:t>
      </w:r>
      <w:r w:rsidR="004B7CD6" w:rsidRPr="004B7CD6">
        <w:rPr>
          <w:rFonts w:eastAsia="Calibri" w:cs="Calibri"/>
        </w:rPr>
        <w:t>comparison to not having routine VL testing.</w:t>
      </w:r>
      <w:r w:rsidR="004B7CD6">
        <w:rPr>
          <w:rFonts w:eastAsia="Calibri" w:cs="Calibri"/>
        </w:rPr>
        <w:t xml:space="preserve"> Furthermore, a</w:t>
      </w:r>
      <w:r w:rsidR="004B7CD6" w:rsidRPr="004B7CD6">
        <w:rPr>
          <w:rFonts w:eastAsia="Calibri" w:cs="Calibri"/>
        </w:rPr>
        <w:t xml:space="preserve">ssuming that PLHIV on ART in project countries receive routine VL testing, it was estimated </w:t>
      </w:r>
      <w:r w:rsidR="004B7CD6">
        <w:rPr>
          <w:rFonts w:eastAsia="Calibri" w:cs="Calibri"/>
        </w:rPr>
        <w:t>that an</w:t>
      </w:r>
      <w:r w:rsidR="004B7CD6" w:rsidRPr="004B7CD6">
        <w:rPr>
          <w:rFonts w:eastAsia="Calibri" w:cs="Calibri"/>
        </w:rPr>
        <w:t xml:space="preserve"> additional </w:t>
      </w:r>
      <w:r w:rsidR="004B7CD6">
        <w:rPr>
          <w:rFonts w:eastAsia="Calibri" w:cs="Calibri"/>
        </w:rPr>
        <w:t>2</w:t>
      </w:r>
      <w:r w:rsidR="00256E27">
        <w:rPr>
          <w:rFonts w:eastAsia="Calibri" w:cs="Calibri"/>
        </w:rPr>
        <w:t>,</w:t>
      </w:r>
      <w:r w:rsidR="004B7CD6">
        <w:rPr>
          <w:rFonts w:eastAsia="Calibri" w:cs="Calibri"/>
        </w:rPr>
        <w:t xml:space="preserve">700 </w:t>
      </w:r>
      <w:r w:rsidR="004B7CD6" w:rsidRPr="004B7CD6">
        <w:rPr>
          <w:rFonts w:eastAsia="Calibri" w:cs="Calibri"/>
        </w:rPr>
        <w:t xml:space="preserve">deaths may be averted </w:t>
      </w:r>
      <w:r w:rsidR="00256E27">
        <w:rPr>
          <w:rFonts w:eastAsia="Calibri" w:cs="Calibri"/>
        </w:rPr>
        <w:t xml:space="preserve">after one year </w:t>
      </w:r>
      <w:r w:rsidR="004B7CD6" w:rsidRPr="004B7CD6">
        <w:rPr>
          <w:rFonts w:eastAsia="Calibri" w:cs="Calibri"/>
        </w:rPr>
        <w:t>due to switching to second line treatment.</w:t>
      </w:r>
    </w:p>
    <w:p w14:paraId="20809EAD" w14:textId="78E637F0" w:rsidR="00D74858" w:rsidRDefault="002E3798" w:rsidP="002E3798">
      <w:pPr>
        <w:pStyle w:val="CEPAReportText"/>
        <w:rPr>
          <w:rFonts w:eastAsia="Calibri" w:cs="Calibri"/>
        </w:rPr>
      </w:pPr>
      <w:r>
        <w:rPr>
          <w:rFonts w:eastAsia="Calibri" w:cs="Calibri"/>
        </w:rPr>
        <w:t xml:space="preserve">Finally, we note that the project has also impacted health outcomes through EID and CD4 testing, although to a lesser extent than planned given the product delays (EID) and revised WHO guidelines (CD4). </w:t>
      </w:r>
    </w:p>
    <w:p w14:paraId="312D960C" w14:textId="77777777" w:rsidR="007D418F" w:rsidRPr="005F32D7" w:rsidRDefault="007D418F" w:rsidP="007D418F">
      <w:pPr>
        <w:pStyle w:val="CEPAReportText"/>
        <w:rPr>
          <w:rFonts w:eastAsia="Calibri" w:cs="Calibri"/>
          <w:b/>
          <w:i/>
        </w:rPr>
      </w:pPr>
      <w:r>
        <w:rPr>
          <w:rFonts w:eastAsia="Calibri" w:cs="Calibri"/>
          <w:b/>
          <w:i/>
        </w:rPr>
        <w:t xml:space="preserve">Sustainability and scalability </w:t>
      </w:r>
    </w:p>
    <w:p w14:paraId="5F7B750E" w14:textId="752E79A4" w:rsidR="004D0695" w:rsidRDefault="004D0695" w:rsidP="004D0695">
      <w:pPr>
        <w:pStyle w:val="CEPAReportText"/>
      </w:pPr>
      <w:r>
        <w:t>The MSF project was a demonstration and feasibility assessment project, and hence the expectation is that not all approaches will be taken forward by the government and other partners. Further, there may be varying experiences ranging from full hand-over of the diagnostic platform and ART cohort to the government with or without supporting donor funding, to take over of a specific service or adoption of a particular approach that may have been piloted by MSF, to a continuation of diagnostics and monitoring by MSF themselves. This last aspect does not necessarily suggest a poor outcome given MSF’s role in several countries of managing ART cohorts. However, ultimately for longer term sustainability one would expect hand-over to the government</w:t>
      </w:r>
      <w:r w:rsidR="00120CC5">
        <w:t xml:space="preserve">, </w:t>
      </w:r>
      <w:r w:rsidR="009B481D">
        <w:t xml:space="preserve">which might be particularly risky for project sites where MSF activities have not been well-integrated with the government. </w:t>
      </w:r>
    </w:p>
    <w:p w14:paraId="46355C82" w14:textId="20EE36A6" w:rsidR="007D418F" w:rsidRDefault="007D418F" w:rsidP="00C759A9">
      <w:pPr>
        <w:pStyle w:val="CEPAReportText"/>
      </w:pPr>
      <w:r>
        <w:t>A review of the programmes supported by MSF under the project, suggests there have been highly successful country programmes that have seen full take-over by the government and other donors (</w:t>
      </w:r>
      <w:r w:rsidR="00C759A9">
        <w:t>e.g. Zimbabwe, Mozambique, Malawi Thyolo</w:t>
      </w:r>
      <w:r>
        <w:t xml:space="preserve">), alongside others </w:t>
      </w:r>
      <w:r w:rsidR="00AD0CA0">
        <w:t>in which</w:t>
      </w:r>
      <w:r>
        <w:t xml:space="preserve"> selected services have been handed over or particular approaches adopted</w:t>
      </w:r>
      <w:r w:rsidR="00C759A9">
        <w:t xml:space="preserve"> (e.g. Malawi Chiradzulu)</w:t>
      </w:r>
      <w:r>
        <w:t xml:space="preserve">. </w:t>
      </w:r>
      <w:r w:rsidR="00C759A9">
        <w:t xml:space="preserve">Where full take-over has not happened, this </w:t>
      </w:r>
      <w:r>
        <w:t>has been on account of limited government funding and capacity as well as preference for alternate technologies other than th</w:t>
      </w:r>
      <w:r w:rsidR="00BF54AB">
        <w:t>ose</w:t>
      </w:r>
      <w:r>
        <w:t xml:space="preserve"> piloted by MSF, reflecting the complex context for MSF operations where the work of multiple players and funders influences </w:t>
      </w:r>
      <w:r w:rsidR="00B61C4F">
        <w:t>MOH</w:t>
      </w:r>
      <w:r>
        <w:t xml:space="preserve"> decision making. Finally, some </w:t>
      </w:r>
      <w:r w:rsidR="00966884">
        <w:t>operations</w:t>
      </w:r>
      <w:r>
        <w:t xml:space="preserve"> such as in Kenya and South Africa have not been taken up by the government, although with their operational research focus, this was not the core objective of the MSF work. </w:t>
      </w:r>
    </w:p>
    <w:p w14:paraId="082AB874" w14:textId="158117AB" w:rsidR="007D418F" w:rsidRDefault="007D418F" w:rsidP="007D418F">
      <w:pPr>
        <w:pStyle w:val="CEPABullets"/>
        <w:numPr>
          <w:ilvl w:val="0"/>
          <w:numId w:val="0"/>
        </w:numPr>
        <w:rPr>
          <w:rFonts w:eastAsia="Calibri"/>
        </w:rPr>
      </w:pPr>
      <w:r w:rsidRPr="00DB61E7">
        <w:rPr>
          <w:rFonts w:eastAsia="Calibri"/>
        </w:rPr>
        <w:t xml:space="preserve">Generally it is recognised that ensuring the sustainability of the MSF programmes is challenging given the resource-limited settings </w:t>
      </w:r>
      <w:r w:rsidR="00DD664B">
        <w:rPr>
          <w:rFonts w:eastAsia="Calibri"/>
        </w:rPr>
        <w:t xml:space="preserve">in which </w:t>
      </w:r>
      <w:r w:rsidRPr="00DB61E7">
        <w:rPr>
          <w:rFonts w:eastAsia="Calibri"/>
        </w:rPr>
        <w:t>that they are operating</w:t>
      </w:r>
      <w:r>
        <w:rPr>
          <w:rFonts w:eastAsia="Calibri"/>
        </w:rPr>
        <w:t xml:space="preserve"> and some respondents commented that the project has been very ambitious with too short a timeframe to ensure integration with governments and others. </w:t>
      </w:r>
      <w:r w:rsidR="003E6DC0">
        <w:rPr>
          <w:lang w:val="en-US"/>
        </w:rPr>
        <w:t>In many instances, such as Zimbabwe, MSF’s work has been seminal in terms of demonstrating feasibility of routine VL testing with other partners and the government increasing their work in this area based on MSF’s demonstration</w:t>
      </w:r>
      <w:r w:rsidR="008608E2">
        <w:rPr>
          <w:lang w:val="en-US"/>
        </w:rPr>
        <w:t xml:space="preserve">. In other instances, MSF’s work was alongside other partners working in country but some of MSF’s demonstration work has been taken forward such as using DBS in Malawi. </w:t>
      </w:r>
      <w:r w:rsidR="00C759A9">
        <w:rPr>
          <w:lang w:val="en-US"/>
        </w:rPr>
        <w:t xml:space="preserve">However, overall, the </w:t>
      </w:r>
      <w:r w:rsidR="00C759A9" w:rsidRPr="00DB61E7">
        <w:rPr>
          <w:rFonts w:eastAsia="Calibri"/>
        </w:rPr>
        <w:t>main contribution of the MSF programme has been its clear demonstration of the feasibility of routine VL testing and presentation of “proof of concept” has set the stage for longer term scalability of routine VL monitoring.</w:t>
      </w:r>
    </w:p>
    <w:p w14:paraId="69F2E9B8" w14:textId="77777777" w:rsidR="007D418F" w:rsidRDefault="007D418F" w:rsidP="007D418F">
      <w:pPr>
        <w:pStyle w:val="Heading4"/>
        <w:rPr>
          <w:rFonts w:eastAsia="Calibri"/>
        </w:rPr>
      </w:pPr>
      <w:r>
        <w:rPr>
          <w:rFonts w:eastAsia="Calibri"/>
        </w:rPr>
        <w:t>Conclusions and lessons learnt</w:t>
      </w:r>
    </w:p>
    <w:p w14:paraId="1C3D9FD6" w14:textId="7A99D94A" w:rsidR="00F85A98" w:rsidRDefault="007D418F" w:rsidP="00F85A98">
      <w:pPr>
        <w:pStyle w:val="CEPAReportText"/>
        <w:rPr>
          <w:lang w:val="en-US"/>
        </w:rPr>
      </w:pPr>
      <w:r>
        <w:rPr>
          <w:lang w:val="en-US"/>
        </w:rPr>
        <w:t xml:space="preserve">In conclusion, the MSF project has been highly relevant and timely, </w:t>
      </w:r>
      <w:r w:rsidR="006460F4">
        <w:rPr>
          <w:lang w:val="en-US"/>
        </w:rPr>
        <w:t xml:space="preserve">and </w:t>
      </w:r>
      <w:r>
        <w:rPr>
          <w:lang w:val="en-US"/>
        </w:rPr>
        <w:t xml:space="preserve">helped create a strong body of evidence and experience, serving as a trailblazer to pave the way for uptake, adoption and scale-up in countries. </w:t>
      </w:r>
      <w:r w:rsidR="00F85A98">
        <w:rPr>
          <w:lang w:val="en-US"/>
        </w:rPr>
        <w:t xml:space="preserve">The project has been extremely complex, with an ambitious goal of demonstrating the feasibility and use of routine VL testing in countries that are largely resource-constrained, alongside several pipeline diagnostic product delays; MSF has approached these challenges well, nimbly adapting and revising its country plan and diagnostic platform selection to suit the needs of the specific and evolving context. </w:t>
      </w:r>
    </w:p>
    <w:p w14:paraId="6838236D" w14:textId="7B31DBAC" w:rsidR="006B49A7" w:rsidRDefault="00C759A9" w:rsidP="00D22156">
      <w:pPr>
        <w:pStyle w:val="CEPAReportText"/>
        <w:rPr>
          <w:lang w:val="en-US"/>
        </w:rPr>
      </w:pPr>
      <w:r>
        <w:rPr>
          <w:lang w:val="en-US"/>
        </w:rPr>
        <w:t xml:space="preserve">The project has made a significant contribution to </w:t>
      </w:r>
      <w:r w:rsidR="00D22156">
        <w:rPr>
          <w:lang w:val="en-US"/>
        </w:rPr>
        <w:t xml:space="preserve">laboratory-based </w:t>
      </w:r>
      <w:r>
        <w:rPr>
          <w:lang w:val="en-US"/>
        </w:rPr>
        <w:t xml:space="preserve">VL monitoring, </w:t>
      </w:r>
      <w:r w:rsidR="00D22156">
        <w:rPr>
          <w:lang w:val="en-US"/>
        </w:rPr>
        <w:t>less so for POC VL testing and EID</w:t>
      </w:r>
      <w:r w:rsidR="00A601A8">
        <w:rPr>
          <w:lang w:val="en-US"/>
        </w:rPr>
        <w:t xml:space="preserve"> mainly on account of timing of availability of technologies</w:t>
      </w:r>
      <w:r w:rsidR="00F85A98">
        <w:rPr>
          <w:lang w:val="en-US"/>
        </w:rPr>
        <w:t xml:space="preserve"> and CD4 testing with changing WHO guidelines</w:t>
      </w:r>
      <w:r w:rsidR="00D22156">
        <w:rPr>
          <w:lang w:val="en-US"/>
        </w:rPr>
        <w:t xml:space="preserve">. </w:t>
      </w:r>
      <w:r w:rsidR="00A601A8">
        <w:rPr>
          <w:lang w:val="en-US"/>
        </w:rPr>
        <w:t xml:space="preserve">Its significance has been greater in countries like Zimbabwe where MSF’s work played a key role in the government’s scale-up plan, but also important in </w:t>
      </w:r>
      <w:r w:rsidR="00F85A98">
        <w:rPr>
          <w:lang w:val="en-US"/>
        </w:rPr>
        <w:t xml:space="preserve">many </w:t>
      </w:r>
      <w:r w:rsidR="00A601A8">
        <w:rPr>
          <w:lang w:val="en-US"/>
        </w:rPr>
        <w:t>other countries</w:t>
      </w:r>
      <w:r w:rsidR="00F85A98">
        <w:rPr>
          <w:lang w:val="en-US"/>
        </w:rPr>
        <w:t xml:space="preserve"> like Malawi</w:t>
      </w:r>
      <w:r w:rsidR="00A601A8">
        <w:rPr>
          <w:lang w:val="en-US"/>
        </w:rPr>
        <w:t xml:space="preserve">. While coordination with other partners </w:t>
      </w:r>
      <w:r w:rsidR="00F85A98">
        <w:rPr>
          <w:lang w:val="en-US"/>
        </w:rPr>
        <w:t>and between MSF units as well as a</w:t>
      </w:r>
      <w:r w:rsidR="00A601A8">
        <w:rPr>
          <w:lang w:val="en-US"/>
        </w:rPr>
        <w:t xml:space="preserve">ctive working with CSOs and patient groups was well done in some countries, this has been variable in nature across other countries and represents an area where greater </w:t>
      </w:r>
      <w:r w:rsidR="00F85A98">
        <w:rPr>
          <w:lang w:val="en-US"/>
        </w:rPr>
        <w:t xml:space="preserve">coordination/ </w:t>
      </w:r>
      <w:r w:rsidR="00A601A8">
        <w:rPr>
          <w:lang w:val="en-US"/>
        </w:rPr>
        <w:t>enga</w:t>
      </w:r>
      <w:r w:rsidR="00BA5A48">
        <w:rPr>
          <w:lang w:val="en-US"/>
        </w:rPr>
        <w:t>gement c</w:t>
      </w:r>
      <w:r w:rsidR="00A601A8">
        <w:rPr>
          <w:lang w:val="en-US"/>
        </w:rPr>
        <w:t xml:space="preserve">ould have been beneficial. </w:t>
      </w:r>
      <w:r w:rsidR="00F85A98">
        <w:t>Also, looking forward, the project’s relevance is undermined by the greater interest and emphasis on polyvalent platforms and integrated approaches to health today, although it is noted that this grant f</w:t>
      </w:r>
      <w:r w:rsidR="00F85A98" w:rsidRPr="00211211">
        <w:t>ocused on single-use platforms</w:t>
      </w:r>
      <w:r w:rsidR="00F85A98">
        <w:t xml:space="preserve"> due to these not being available early on in the project</w:t>
      </w:r>
      <w:r w:rsidR="00F85A98" w:rsidRPr="00211211">
        <w:t>.</w:t>
      </w:r>
    </w:p>
    <w:p w14:paraId="4CB3EA08" w14:textId="54B6F499" w:rsidR="006B49A7" w:rsidRDefault="006B49A7" w:rsidP="006B49A7">
      <w:pPr>
        <w:pStyle w:val="CEPAReportText"/>
        <w:rPr>
          <w:lang w:val="en-US"/>
        </w:rPr>
      </w:pPr>
      <w:r>
        <w:rPr>
          <w:lang w:val="en-US"/>
        </w:rPr>
        <w:t xml:space="preserve">While recognising that Unitaid has updated its project design and management approach, especially under the new </w:t>
      </w:r>
      <w:r w:rsidR="00ED11F8">
        <w:rPr>
          <w:lang w:val="en-US"/>
        </w:rPr>
        <w:t>s</w:t>
      </w:r>
      <w:r>
        <w:rPr>
          <w:lang w:val="en-US"/>
        </w:rPr>
        <w:t>trategy, lessons from the experience of the implementation of the MSF project suggest the need for: (i) more realistic timeframes for projects, recognising the complex and uncertain environment that Unitaid projects operate in; (ii) project design to be carefully supported by scenario assessment, aided with a clear and continually updated risk assessment; (iii) a critical consideration of what really defines the measures of success for a project and developing suitable M&amp;E indicators</w:t>
      </w:r>
      <w:r w:rsidR="006D2D83">
        <w:rPr>
          <w:lang w:val="en-US"/>
        </w:rPr>
        <w:t>, with an emphasis on project site data collection especially given the weak data that exists</w:t>
      </w:r>
      <w:r>
        <w:rPr>
          <w:lang w:val="en-US"/>
        </w:rPr>
        <w:t xml:space="preserve">; (iv) greater emphasis on coordination with other partners, through for example, </w:t>
      </w:r>
      <w:r w:rsidR="00AE2B28">
        <w:rPr>
          <w:lang w:val="en-US"/>
        </w:rPr>
        <w:t>measurable</w:t>
      </w:r>
      <w:r>
        <w:rPr>
          <w:lang w:val="en-US"/>
        </w:rPr>
        <w:t xml:space="preserve"> indicators to ensure this is done; and (v) close monitoring of </w:t>
      </w:r>
      <w:r w:rsidR="00DD664B">
        <w:rPr>
          <w:lang w:val="en-US"/>
        </w:rPr>
        <w:t>impact</w:t>
      </w:r>
      <w:r>
        <w:rPr>
          <w:lang w:val="en-US"/>
        </w:rPr>
        <w:t xml:space="preserve"> metrics to ensure continued efficiency in terms of increased benefits for increased costs.</w:t>
      </w:r>
    </w:p>
    <w:p w14:paraId="53AF1651" w14:textId="3926B7BD" w:rsidR="00125677" w:rsidRDefault="006B49A7" w:rsidP="00631353">
      <w:pPr>
        <w:pStyle w:val="CEPAReportText"/>
      </w:pPr>
      <w:r>
        <w:rPr>
          <w:lang w:val="en-US"/>
        </w:rPr>
        <w:t>Finally, as an end note, we highlight that the landscape for VL testing remains challenging. Not only do VL testing coverage rates remain very low, there is also much to be improved in terms of test TATs and treatment regimen switching rates. Challenges persist with available technologies in terms of high prices, ineffective maintenance and the issue of waste management. As such, the path to scale-up requires further work, although noting that the MSF contribution through this project has made a positive contribution to setting the stage for scale-up.</w:t>
      </w:r>
    </w:p>
    <w:p w14:paraId="61B88434" w14:textId="77777777" w:rsidR="00DF0323" w:rsidRPr="0040725F" w:rsidDel="00082A29" w:rsidRDefault="00DF0323" w:rsidP="00DF0323">
      <w:pPr>
        <w:pStyle w:val="CEPAReportText"/>
        <w:ind w:left="360"/>
        <w:sectPr w:rsidR="00DF0323" w:rsidRPr="0040725F" w:rsidDel="00082A29" w:rsidSect="00280C9A">
          <w:headerReference w:type="default" r:id="rId19"/>
          <w:footerReference w:type="even" r:id="rId20"/>
          <w:footerReference w:type="default" r:id="rId21"/>
          <w:pgSz w:w="11906" w:h="16838"/>
          <w:pgMar w:top="1440" w:right="1440" w:bottom="1440" w:left="1440" w:header="708" w:footer="708" w:gutter="0"/>
          <w:pgNumType w:fmt="lowerRoman"/>
          <w:cols w:space="708"/>
          <w:docGrid w:linePitch="360"/>
        </w:sectPr>
      </w:pPr>
    </w:p>
    <w:p w14:paraId="225D4FA4" w14:textId="77777777" w:rsidR="00125677" w:rsidRPr="00B943ED" w:rsidDel="00082A29" w:rsidRDefault="00125677" w:rsidP="00125677">
      <w:pPr>
        <w:pStyle w:val="Heading1"/>
        <w:numPr>
          <w:ilvl w:val="0"/>
          <w:numId w:val="2"/>
        </w:numPr>
        <w:jc w:val="left"/>
      </w:pPr>
      <w:bookmarkStart w:id="80" w:name="_Toc432520055"/>
      <w:bookmarkStart w:id="81" w:name="_Toc433041621"/>
      <w:bookmarkStart w:id="82" w:name="_Toc306978481"/>
      <w:bookmarkStart w:id="83" w:name="_Toc433145029"/>
      <w:bookmarkStart w:id="84" w:name="_Toc433190524"/>
      <w:bookmarkStart w:id="85" w:name="_Toc433197239"/>
      <w:bookmarkStart w:id="86" w:name="_Toc433213096"/>
      <w:bookmarkStart w:id="87" w:name="_Toc307070841"/>
      <w:bookmarkStart w:id="88" w:name="_Toc433216973"/>
      <w:bookmarkStart w:id="89" w:name="_Toc435180826"/>
      <w:bookmarkStart w:id="90" w:name="_Toc435187981"/>
      <w:bookmarkStart w:id="91" w:name="_Toc435198221"/>
      <w:bookmarkStart w:id="92" w:name="_Toc479157473"/>
      <w:bookmarkStart w:id="93" w:name="_Toc480382910"/>
      <w:bookmarkStart w:id="94" w:name="_Toc480382959"/>
      <w:bookmarkStart w:id="95" w:name="_Toc480401065"/>
      <w:bookmarkStart w:id="96" w:name="_Toc480448392"/>
      <w:bookmarkStart w:id="97" w:name="_Toc480475246"/>
      <w:bookmarkStart w:id="98" w:name="_Toc480476402"/>
      <w:bookmarkStart w:id="99" w:name="_Toc480546078"/>
      <w:bookmarkStart w:id="100" w:name="_Toc480549665"/>
      <w:bookmarkStart w:id="101" w:name="_Toc480553059"/>
      <w:bookmarkStart w:id="102" w:name="_Toc497836022"/>
      <w:bookmarkStart w:id="103" w:name="_Toc498093543"/>
      <w:bookmarkStart w:id="104" w:name="_Toc498094639"/>
      <w:bookmarkStart w:id="105" w:name="_Toc499825736"/>
      <w:bookmarkStart w:id="106" w:name="_Toc499827480"/>
      <w:bookmarkStart w:id="107" w:name="_Toc500074973"/>
      <w:bookmarkStart w:id="108" w:name="_Toc500077839"/>
      <w:bookmarkStart w:id="109" w:name="_Toc500179374"/>
      <w:bookmarkStart w:id="110" w:name="_Toc500445641"/>
      <w:bookmarkStart w:id="111" w:name="_Toc500503119"/>
      <w:bookmarkStart w:id="112" w:name="_Toc500508102"/>
      <w:bookmarkStart w:id="113" w:name="_Toc500512830"/>
      <w:bookmarkStart w:id="114" w:name="_Toc500517756"/>
      <w:bookmarkStart w:id="115" w:name="_Toc500519571"/>
      <w:bookmarkStart w:id="116" w:name="_Toc500524418"/>
      <w:bookmarkStart w:id="117" w:name="_Toc506417390"/>
      <w:bookmarkStart w:id="118" w:name="_Toc515359214"/>
      <w:r w:rsidRPr="00B943ED" w:rsidDel="00082A29">
        <w:t>Introduction and evaluation approach</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72AA3C6" w14:textId="447C9921" w:rsidR="006141BE" w:rsidRPr="00B943ED" w:rsidRDefault="006141BE" w:rsidP="006141BE">
      <w:pPr>
        <w:pStyle w:val="CEPAReportText"/>
      </w:pPr>
      <w:bookmarkStart w:id="119" w:name="_Toc413657753"/>
      <w:bookmarkStart w:id="120" w:name="_Toc432520058"/>
      <w:bookmarkStart w:id="121" w:name="_Toc433041624"/>
      <w:bookmarkStart w:id="122" w:name="_Toc306978484"/>
      <w:bookmarkStart w:id="123" w:name="_Toc433145032"/>
      <w:bookmarkStart w:id="124" w:name="_Toc433190527"/>
      <w:bookmarkStart w:id="125" w:name="_Toc433197242"/>
      <w:bookmarkStart w:id="126" w:name="_Toc433213099"/>
      <w:bookmarkStart w:id="127" w:name="_Toc307070844"/>
      <w:bookmarkStart w:id="128" w:name="_Toc433216976"/>
      <w:bookmarkStart w:id="129" w:name="_Toc435180829"/>
      <w:bookmarkStart w:id="130" w:name="_Toc435187984"/>
      <w:bookmarkStart w:id="131" w:name="_Toc435198224"/>
      <w:bookmarkStart w:id="132" w:name="_Toc479157476"/>
      <w:bookmarkStart w:id="133" w:name="_Toc480382913"/>
      <w:bookmarkStart w:id="134" w:name="_Toc480382962"/>
      <w:bookmarkStart w:id="135" w:name="_Toc480401068"/>
      <w:bookmarkStart w:id="136" w:name="_Toc480448395"/>
      <w:bookmarkStart w:id="137" w:name="_Toc480475249"/>
      <w:bookmarkStart w:id="138" w:name="_Toc480476405"/>
      <w:bookmarkStart w:id="139" w:name="_Toc480546081"/>
      <w:bookmarkStart w:id="140" w:name="_Toc480549668"/>
      <w:bookmarkStart w:id="141" w:name="_Toc480553062"/>
      <w:bookmarkStart w:id="142" w:name="_Toc497836025"/>
      <w:bookmarkStart w:id="143" w:name="_Toc498093546"/>
      <w:bookmarkStart w:id="144" w:name="_Toc498094642"/>
      <w:r>
        <w:t xml:space="preserve">Cambridge Economic Policy Associates (CEPA) </w:t>
      </w:r>
      <w:r w:rsidR="00631353">
        <w:t>was</w:t>
      </w:r>
      <w:r>
        <w:t xml:space="preserve"> appointed by </w:t>
      </w:r>
      <w:r w:rsidR="00B55E9C">
        <w:t>Unitaid</w:t>
      </w:r>
      <w:r>
        <w:t xml:space="preserve"> to conduct an end of project evaluation of the grant to </w:t>
      </w:r>
      <w:r w:rsidR="00BE1F55">
        <w:t>M</w:t>
      </w:r>
      <w:r w:rsidR="00BE1F55">
        <w:rPr>
          <w:rFonts w:cs="Calibri"/>
        </w:rPr>
        <w:t>é</w:t>
      </w:r>
      <w:r w:rsidR="00BE1F55">
        <w:t>decins</w:t>
      </w:r>
      <w:r>
        <w:t xml:space="preserve"> Sans </w:t>
      </w:r>
      <w:r w:rsidR="00BE1F55">
        <w:t>Fronti</w:t>
      </w:r>
      <w:r w:rsidR="00BE1F55">
        <w:rPr>
          <w:rFonts w:cs="Calibri"/>
        </w:rPr>
        <w:t>ė</w:t>
      </w:r>
      <w:r w:rsidR="00BE1F55">
        <w:t>res</w:t>
      </w:r>
      <w:r>
        <w:t xml:space="preserve"> (MSF) on </w:t>
      </w:r>
      <w:r w:rsidR="00631353">
        <w:t>“</w:t>
      </w:r>
      <w:r>
        <w:t>Implementation of CD4 and viral load testing in decentralised, remote and resource-limited settings in MSF HIV programmes</w:t>
      </w:r>
      <w:r w:rsidR="00631353">
        <w:t>”</w:t>
      </w:r>
      <w:r>
        <w:t xml:space="preserve"> (</w:t>
      </w:r>
      <w:r w:rsidR="00631353">
        <w:t>“</w:t>
      </w:r>
      <w:r>
        <w:t>the project</w:t>
      </w:r>
      <w:r w:rsidR="00631353">
        <w:t>”</w:t>
      </w:r>
      <w:r>
        <w:t xml:space="preserve">). </w:t>
      </w:r>
      <w:bookmarkStart w:id="145" w:name="_Toc473627131"/>
      <w:bookmarkStart w:id="146" w:name="_Toc473634104"/>
      <w:bookmarkStart w:id="147" w:name="_Toc476672638"/>
      <w:bookmarkStart w:id="148" w:name="_Toc476841238"/>
      <w:bookmarkStart w:id="149" w:name="_Toc496178650"/>
      <w:bookmarkStart w:id="150" w:name="_Toc496183794"/>
      <w:bookmarkStart w:id="151" w:name="_Toc496189742"/>
      <w:bookmarkStart w:id="152" w:name="_Toc496279246"/>
      <w:bookmarkStart w:id="153" w:name="_Toc496280847"/>
      <w:bookmarkStart w:id="154" w:name="_Toc496284469"/>
      <w:bookmarkStart w:id="155" w:name="_Toc496285321"/>
      <w:bookmarkStart w:id="156" w:name="_Toc496285475"/>
      <w:bookmarkStart w:id="157" w:name="_Toc496881745"/>
      <w:bookmarkStart w:id="158" w:name="_Toc496884930"/>
      <w:bookmarkStart w:id="159" w:name="_Toc496885940"/>
      <w:bookmarkStart w:id="160" w:name="_Toc496886898"/>
      <w:bookmarkStart w:id="161" w:name="_Toc496891122"/>
      <w:r w:rsidR="00372AA4">
        <w:t xml:space="preserve">This </w:t>
      </w:r>
      <w:r w:rsidR="00A97C59">
        <w:t>report presents our</w:t>
      </w:r>
      <w:r w:rsidR="00372AA4">
        <w:t xml:space="preserve"> evaluation findings</w:t>
      </w:r>
      <w:r w:rsidR="00A97C59">
        <w:t xml:space="preserve">, </w:t>
      </w:r>
      <w:r w:rsidR="00372AA4">
        <w:t>conclusions</w:t>
      </w:r>
      <w:r w:rsidR="00A97C59">
        <w:t xml:space="preserve"> and lessons learnt</w:t>
      </w:r>
      <w:r w:rsidR="00372AA4">
        <w:t>.</w:t>
      </w:r>
      <w:r w:rsidR="00122315">
        <w:rPr>
          <w:rStyle w:val="FootnoteReference"/>
        </w:rPr>
        <w:footnoteReference w:id="9"/>
      </w:r>
      <w:r w:rsidR="00372AA4">
        <w:t xml:space="preserve"> </w:t>
      </w:r>
    </w:p>
    <w:p w14:paraId="19D9D3D9" w14:textId="4FBC5517" w:rsidR="006141BE" w:rsidRPr="00B943ED" w:rsidRDefault="006141BE" w:rsidP="006141BE">
      <w:pPr>
        <w:pStyle w:val="CEPAReportText"/>
      </w:pPr>
      <w:r>
        <w:t xml:space="preserve">In </w:t>
      </w:r>
      <w:r w:rsidR="00BE1F55">
        <w:t>this</w:t>
      </w:r>
      <w:r w:rsidRPr="00B943ED">
        <w:t xml:space="preserve"> introduction</w:t>
      </w:r>
      <w:r>
        <w:t>, we provide</w:t>
      </w:r>
      <w:r w:rsidRPr="00B943ED">
        <w:t xml:space="preserve"> a brief background to the project (Section 1.1), the evaluation objectives and methodology (Section 1.2) and the structure of the report (Section 1.3). </w:t>
      </w:r>
    </w:p>
    <w:p w14:paraId="1ED73284" w14:textId="397EEF02" w:rsidR="006141BE" w:rsidRPr="00580F9A" w:rsidRDefault="006141BE" w:rsidP="006141BE">
      <w:pPr>
        <w:pStyle w:val="Heading2"/>
      </w:pPr>
      <w:bookmarkStart w:id="162" w:name="_Toc499825737"/>
      <w:bookmarkStart w:id="163" w:name="_Toc499827481"/>
      <w:bookmarkStart w:id="164" w:name="_Toc500074974"/>
      <w:bookmarkStart w:id="165" w:name="_Toc500077840"/>
      <w:bookmarkStart w:id="166" w:name="_Toc500179375"/>
      <w:bookmarkStart w:id="167" w:name="_Toc500445642"/>
      <w:bookmarkStart w:id="168" w:name="_Toc500503120"/>
      <w:bookmarkStart w:id="169" w:name="_Toc500508103"/>
      <w:bookmarkStart w:id="170" w:name="_Toc500512831"/>
      <w:bookmarkStart w:id="171" w:name="_Toc500517757"/>
      <w:bookmarkStart w:id="172" w:name="_Toc500519572"/>
      <w:bookmarkStart w:id="173" w:name="_Toc500524419"/>
      <w:bookmarkStart w:id="174" w:name="_Toc506417391"/>
      <w:bookmarkStart w:id="175" w:name="_Toc515359215"/>
      <w:r>
        <w:t>Project background</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580F9A">
        <w:t xml:space="preserve"> </w:t>
      </w:r>
    </w:p>
    <w:p w14:paraId="5061583B" w14:textId="29A08C82" w:rsidR="00D73CB2" w:rsidRDefault="00B44B15" w:rsidP="006141BE">
      <w:pPr>
        <w:pStyle w:val="CEPAReportText"/>
      </w:pPr>
      <w:r>
        <w:t xml:space="preserve">The </w:t>
      </w:r>
      <w:r w:rsidR="006141BE">
        <w:t xml:space="preserve">rapid rollout of </w:t>
      </w:r>
      <w:r>
        <w:t xml:space="preserve">antiretroviral therapy (ART) </w:t>
      </w:r>
      <w:r w:rsidR="006141BE">
        <w:t>ha</w:t>
      </w:r>
      <w:r>
        <w:t>s</w:t>
      </w:r>
      <w:r w:rsidR="006141BE">
        <w:t xml:space="preserve"> not been matched by a comparable increase in access to diagnostic support for optimal compliance with case management protocol</w:t>
      </w:r>
      <w:r w:rsidR="00B26B9F">
        <w:t>s</w:t>
      </w:r>
      <w:r w:rsidR="006141BE" w:rsidDel="00B44B15">
        <w:t>.</w:t>
      </w:r>
      <w:r w:rsidR="006141BE">
        <w:t xml:space="preserve"> Limited access to virological monitoring in these settings</w:t>
      </w:r>
      <w:r w:rsidR="006141BE" w:rsidRPr="47A59489">
        <w:t xml:space="preserve"> </w:t>
      </w:r>
      <w:r>
        <w:t xml:space="preserve">has </w:t>
      </w:r>
      <w:r w:rsidR="006141BE">
        <w:t>led to a reliance on immunological and clinical criteria for the purposes of diagnostic support, which ha</w:t>
      </w:r>
      <w:r>
        <w:t>s</w:t>
      </w:r>
      <w:r w:rsidR="006141BE">
        <w:t xml:space="preserve"> been shown to perform relatively poorly as predictors of ART treatment failure and the need for second-line treatment</w:t>
      </w:r>
      <w:r w:rsidR="006141BE" w:rsidRPr="47A59489">
        <w:t>.</w:t>
      </w:r>
      <w:r w:rsidR="006141BE">
        <w:rPr>
          <w:rStyle w:val="FootnoteReference"/>
        </w:rPr>
        <w:footnoteReference w:id="10"/>
      </w:r>
      <w:r w:rsidR="006141BE">
        <w:t xml:space="preserve"> </w:t>
      </w:r>
      <w:r w:rsidR="006141BE">
        <w:rPr>
          <w:rFonts w:eastAsiaTheme="minorHAnsi"/>
          <w:lang w:eastAsia="en-GB"/>
        </w:rPr>
        <w:t xml:space="preserve">In this context, </w:t>
      </w:r>
      <w:r w:rsidR="006141BE">
        <w:t xml:space="preserve">the goal of the </w:t>
      </w:r>
      <w:r w:rsidR="00B55E9C">
        <w:t>Unitaid</w:t>
      </w:r>
      <w:r>
        <w:t xml:space="preserve">-MSF </w:t>
      </w:r>
      <w:r w:rsidR="006141BE">
        <w:t xml:space="preserve">project was to improve clinical outcomes for people living with HIV </w:t>
      </w:r>
      <w:r w:rsidR="00A54D85">
        <w:t xml:space="preserve">(PLHIV) </w:t>
      </w:r>
      <w:r w:rsidR="006141BE">
        <w:t xml:space="preserve">in resource-constrained settings through the development and delivery of models of care for the optimal use of: (i) Point of Care (POC) CD4 testing; (ii) laboratory‐based viral load (VL) testing; (iii) POC VL testing; and (iv) </w:t>
      </w:r>
      <w:r w:rsidR="004D0E48">
        <w:t>e</w:t>
      </w:r>
      <w:r w:rsidR="006141BE">
        <w:t xml:space="preserve">arly </w:t>
      </w:r>
      <w:r w:rsidR="004D0E48">
        <w:t>i</w:t>
      </w:r>
      <w:r w:rsidR="006141BE">
        <w:t xml:space="preserve">nfant </w:t>
      </w:r>
      <w:r w:rsidR="004D0E48">
        <w:t>d</w:t>
      </w:r>
      <w:r w:rsidR="006141BE">
        <w:t xml:space="preserve">iagnosis (EID). The project </w:t>
      </w:r>
      <w:r w:rsidR="00631353">
        <w:t xml:space="preserve">had an operational research focus, and </w:t>
      </w:r>
      <w:r w:rsidR="00D73CB2">
        <w:t xml:space="preserve">aimed to evaluate the feasibility of new technologies and identify optimal strategies for </w:t>
      </w:r>
      <w:r w:rsidR="00631353">
        <w:t>different</w:t>
      </w:r>
      <w:r w:rsidR="00D73CB2">
        <w:t xml:space="preserve"> resource-poor settings. </w:t>
      </w:r>
    </w:p>
    <w:p w14:paraId="085BBFC9" w14:textId="795072EF" w:rsidR="006141BE" w:rsidRDefault="006141BE" w:rsidP="00897778">
      <w:pPr>
        <w:pStyle w:val="CEPAReportText"/>
        <w:rPr>
          <w:rFonts w:eastAsiaTheme="minorHAnsi"/>
          <w:lang w:eastAsia="en-GB"/>
        </w:rPr>
      </w:pPr>
      <w:r>
        <w:t xml:space="preserve">The project </w:t>
      </w:r>
      <w:r w:rsidR="00631353">
        <w:t xml:space="preserve">grant agreement </w:t>
      </w:r>
      <w:r>
        <w:t xml:space="preserve">between </w:t>
      </w:r>
      <w:r w:rsidR="00B55E9C">
        <w:t>Unitaid</w:t>
      </w:r>
      <w:r>
        <w:t xml:space="preserve"> and MSF was concluded in December 2012, with a total budget of US</w:t>
      </w:r>
      <w:r w:rsidR="00B44B15">
        <w:t>$</w:t>
      </w:r>
      <w:r>
        <w:t>28.7</w:t>
      </w:r>
      <w:r w:rsidR="007F5F65">
        <w:t>m</w:t>
      </w:r>
      <w:r>
        <w:t xml:space="preserve"> and an implementation period </w:t>
      </w:r>
      <w:r w:rsidR="0040233C">
        <w:t>until</w:t>
      </w:r>
      <w:r>
        <w:t xml:space="preserve"> </w:t>
      </w:r>
      <w:r w:rsidR="003A3EDF">
        <w:t>December</w:t>
      </w:r>
      <w:r w:rsidR="001019E0">
        <w:t xml:space="preserve"> </w:t>
      </w:r>
      <w:r>
        <w:t>2015</w:t>
      </w:r>
      <w:r w:rsidR="00A97C59">
        <w:t xml:space="preserve">, later extended to </w:t>
      </w:r>
      <w:r w:rsidR="005D5C21">
        <w:t xml:space="preserve">April </w:t>
      </w:r>
      <w:r w:rsidR="00A97C59">
        <w:t>2017</w:t>
      </w:r>
      <w:r>
        <w:t xml:space="preserve">. </w:t>
      </w:r>
      <w:r w:rsidRPr="00D25147">
        <w:rPr>
          <w:bCs/>
        </w:rPr>
        <w:t xml:space="preserve">Seven countries were </w:t>
      </w:r>
      <w:r>
        <w:rPr>
          <w:bCs/>
        </w:rPr>
        <w:t xml:space="preserve">initially </w:t>
      </w:r>
      <w:r w:rsidRPr="00D25147">
        <w:rPr>
          <w:bCs/>
        </w:rPr>
        <w:t>targeted:</w:t>
      </w:r>
      <w:r w:rsidRPr="00D25147">
        <w:t xml:space="preserve"> </w:t>
      </w:r>
      <w:r>
        <w:t>Lesotho, Malawi, Mozambique, South Africa, Swaziland, Uganda and Zimbabwe</w:t>
      </w:r>
      <w:r w:rsidR="00B44B15">
        <w:t xml:space="preserve">, </w:t>
      </w:r>
      <w:r w:rsidR="00017EA8">
        <w:t xml:space="preserve">and </w:t>
      </w:r>
      <w:r w:rsidR="00A903AF">
        <w:t xml:space="preserve">the </w:t>
      </w:r>
      <w:r w:rsidRPr="00253258">
        <w:t>Democratic Republic of the Congo</w:t>
      </w:r>
      <w:r>
        <w:t xml:space="preserve"> (DRC)</w:t>
      </w:r>
      <w:r w:rsidR="00B44B15">
        <w:t xml:space="preserve"> </w:t>
      </w:r>
      <w:r>
        <w:t>and Kenya</w:t>
      </w:r>
      <w:r w:rsidR="00A903AF">
        <w:t xml:space="preserve"> were added in 2014 and 2015 respectively.</w:t>
      </w:r>
      <w:r w:rsidR="00B26B9F">
        <w:rPr>
          <w:rStyle w:val="FootnoteReference"/>
        </w:rPr>
        <w:footnoteReference w:id="11"/>
      </w:r>
      <w:r>
        <w:rPr>
          <w:vertAlign w:val="superscript"/>
        </w:rPr>
        <w:t xml:space="preserve"> </w:t>
      </w:r>
      <w:r w:rsidR="00897778">
        <w:rPr>
          <w:vertAlign w:val="superscript"/>
        </w:rPr>
        <w:t xml:space="preserve"> </w:t>
      </w:r>
      <w:r w:rsidR="00897778">
        <w:t>The project was implemented in MSF-supported sites within these countries and targeted ART cohorts between 3,000 to 46,000 in size.</w:t>
      </w:r>
      <w:r w:rsidR="00897778">
        <w:rPr>
          <w:rStyle w:val="FootnoteReference"/>
        </w:rPr>
        <w:footnoteReference w:id="12"/>
      </w:r>
      <w:r w:rsidR="00897778">
        <w:t xml:space="preserve"> </w:t>
      </w:r>
      <w:r w:rsidR="00897778">
        <w:rPr>
          <w:rFonts w:eastAsiaTheme="minorHAnsi"/>
          <w:lang w:eastAsia="en-GB"/>
        </w:rPr>
        <w:t xml:space="preserve">Table 1.1 </w:t>
      </w:r>
      <w:r>
        <w:rPr>
          <w:rFonts w:eastAsiaTheme="minorHAnsi"/>
          <w:lang w:eastAsia="en-GB"/>
        </w:rPr>
        <w:t>outlines the project goal</w:t>
      </w:r>
      <w:r w:rsidRPr="00565A8E">
        <w:t xml:space="preserve"> </w:t>
      </w:r>
      <w:r>
        <w:t>and</w:t>
      </w:r>
      <w:r w:rsidRPr="009E7A91">
        <w:t xml:space="preserve"> </w:t>
      </w:r>
      <w:r>
        <w:t>purpose</w:t>
      </w:r>
      <w:r>
        <w:rPr>
          <w:rFonts w:eastAsiaTheme="minorHAnsi"/>
        </w:rPr>
        <w:t xml:space="preserve">, as </w:t>
      </w:r>
      <w:r w:rsidR="00411B0D">
        <w:t xml:space="preserve">per the </w:t>
      </w:r>
      <w:r w:rsidR="00A903AF">
        <w:rPr>
          <w:rFonts w:eastAsiaTheme="minorHAnsi"/>
        </w:rPr>
        <w:t xml:space="preserve">logical framework </w:t>
      </w:r>
      <w:r>
        <w:rPr>
          <w:rFonts w:eastAsiaTheme="minorHAnsi"/>
        </w:rPr>
        <w:t>(</w:t>
      </w:r>
      <w:r w:rsidR="00017EA8">
        <w:rPr>
          <w:rFonts w:eastAsiaTheme="minorHAnsi"/>
        </w:rPr>
        <w:t>l</w:t>
      </w:r>
      <w:r>
        <w:t>ogframe).</w:t>
      </w:r>
    </w:p>
    <w:p w14:paraId="42D937D1" w14:textId="589257A6" w:rsidR="006141BE" w:rsidRPr="009E7A91" w:rsidRDefault="006141BE" w:rsidP="006141BE">
      <w:pPr>
        <w:pStyle w:val="CEPADiagramLabel"/>
        <w:rPr>
          <w:rFonts w:eastAsiaTheme="minorHAnsi"/>
          <w:sz w:val="24"/>
          <w:lang w:eastAsia="en-GB"/>
        </w:rPr>
      </w:pPr>
      <w:bookmarkStart w:id="176" w:name="_Ref476658237"/>
      <w:r w:rsidRPr="009E7A91">
        <w:rPr>
          <w:sz w:val="24"/>
        </w:rPr>
        <w:t xml:space="preserve">Table </w:t>
      </w:r>
      <w:r w:rsidR="00E72D1D">
        <w:rPr>
          <w:sz w:val="24"/>
        </w:rPr>
        <w:fldChar w:fldCharType="begin"/>
      </w:r>
      <w:r w:rsidR="00E72D1D">
        <w:rPr>
          <w:sz w:val="24"/>
        </w:rPr>
        <w:instrText xml:space="preserve"> STYLEREF 1 \s </w:instrText>
      </w:r>
      <w:r w:rsidR="00E72D1D">
        <w:rPr>
          <w:sz w:val="24"/>
        </w:rPr>
        <w:fldChar w:fldCharType="separate"/>
      </w:r>
      <w:r w:rsidR="00E21B7F">
        <w:rPr>
          <w:noProof/>
          <w:sz w:val="24"/>
        </w:rPr>
        <w:t>1</w:t>
      </w:r>
      <w:r w:rsidR="00E72D1D">
        <w:rPr>
          <w:sz w:val="24"/>
        </w:rPr>
        <w:fldChar w:fldCharType="end"/>
      </w:r>
      <w:r w:rsidR="00E72D1D">
        <w:rPr>
          <w:sz w:val="24"/>
        </w:rPr>
        <w:t>.</w:t>
      </w:r>
      <w:r w:rsidR="00E72D1D">
        <w:rPr>
          <w:sz w:val="24"/>
        </w:rPr>
        <w:fldChar w:fldCharType="begin"/>
      </w:r>
      <w:r w:rsidR="00E72D1D">
        <w:rPr>
          <w:sz w:val="24"/>
        </w:rPr>
        <w:instrText xml:space="preserve"> SEQ Table \* ARABIC \s 1 </w:instrText>
      </w:r>
      <w:r w:rsidR="00E72D1D">
        <w:rPr>
          <w:sz w:val="24"/>
        </w:rPr>
        <w:fldChar w:fldCharType="separate"/>
      </w:r>
      <w:r w:rsidR="00E21B7F">
        <w:rPr>
          <w:noProof/>
          <w:sz w:val="24"/>
        </w:rPr>
        <w:t>1</w:t>
      </w:r>
      <w:r w:rsidR="00E72D1D">
        <w:rPr>
          <w:sz w:val="24"/>
        </w:rPr>
        <w:fldChar w:fldCharType="end"/>
      </w:r>
      <w:bookmarkEnd w:id="176"/>
      <w:r w:rsidRPr="009E7A91">
        <w:rPr>
          <w:sz w:val="24"/>
        </w:rPr>
        <w:t>: Project goal</w:t>
      </w:r>
      <w:r>
        <w:rPr>
          <w:sz w:val="24"/>
        </w:rPr>
        <w:t xml:space="preserve"> and</w:t>
      </w:r>
      <w:r w:rsidRPr="009E7A91">
        <w:rPr>
          <w:sz w:val="24"/>
        </w:rPr>
        <w:t xml:space="preserve"> </w:t>
      </w:r>
      <w:r>
        <w:rPr>
          <w:sz w:val="24"/>
        </w:rPr>
        <w:t>purpose</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14"/>
        <w:gridCol w:w="7602"/>
      </w:tblGrid>
      <w:tr w:rsidR="006141BE" w:rsidRPr="009E7A91" w14:paraId="4821355E" w14:textId="77777777" w:rsidTr="006141BE">
        <w:trPr>
          <w:tblHeader/>
        </w:trPr>
        <w:tc>
          <w:tcPr>
            <w:tcW w:w="784" w:type="pct"/>
            <w:shd w:val="solid" w:color="4B86CD" w:fill="auto"/>
          </w:tcPr>
          <w:p w14:paraId="223F36CD" w14:textId="77777777" w:rsidR="006141BE" w:rsidRPr="009E7A91" w:rsidRDefault="006141BE" w:rsidP="006141BE">
            <w:pPr>
              <w:pStyle w:val="CEPATabletext"/>
              <w:rPr>
                <w:rFonts w:eastAsiaTheme="minorHAnsi"/>
                <w:b/>
                <w:color w:val="FFFFFF" w:themeColor="background1"/>
              </w:rPr>
            </w:pPr>
            <w:r w:rsidRPr="009E7A91">
              <w:rPr>
                <w:rFonts w:eastAsiaTheme="minorHAnsi"/>
                <w:b/>
                <w:color w:val="FFFFFF" w:themeColor="background1"/>
              </w:rPr>
              <w:t>Result level</w:t>
            </w:r>
          </w:p>
        </w:tc>
        <w:tc>
          <w:tcPr>
            <w:tcW w:w="4216" w:type="pct"/>
            <w:shd w:val="solid" w:color="4B86CD" w:fill="auto"/>
          </w:tcPr>
          <w:p w14:paraId="6E262332" w14:textId="77777777" w:rsidR="006141BE" w:rsidRPr="009E7A91" w:rsidRDefault="006141BE" w:rsidP="006141BE">
            <w:pPr>
              <w:pStyle w:val="CEPATabletext"/>
              <w:rPr>
                <w:rFonts w:eastAsiaTheme="minorHAnsi"/>
                <w:b/>
                <w:color w:val="FFFFFF" w:themeColor="background1"/>
              </w:rPr>
            </w:pPr>
            <w:r w:rsidRPr="009E7A91">
              <w:rPr>
                <w:rFonts w:eastAsiaTheme="minorHAnsi"/>
                <w:b/>
                <w:color w:val="FFFFFF" w:themeColor="background1"/>
              </w:rPr>
              <w:t xml:space="preserve">Description </w:t>
            </w:r>
          </w:p>
        </w:tc>
      </w:tr>
      <w:tr w:rsidR="006141BE" w:rsidRPr="00161B7D" w14:paraId="03452055" w14:textId="77777777" w:rsidTr="006141BE">
        <w:tc>
          <w:tcPr>
            <w:tcW w:w="784" w:type="pct"/>
          </w:tcPr>
          <w:p w14:paraId="3D0928E5" w14:textId="77777777" w:rsidR="006141BE" w:rsidRPr="00161B7D" w:rsidRDefault="006141BE" w:rsidP="00B26B9F">
            <w:pPr>
              <w:pStyle w:val="CEPATabletext"/>
              <w:rPr>
                <w:rFonts w:eastAsiaTheme="minorHAnsi"/>
              </w:rPr>
            </w:pPr>
            <w:r w:rsidRPr="00161B7D">
              <w:rPr>
                <w:rFonts w:eastAsiaTheme="minorHAnsi"/>
              </w:rPr>
              <w:t>Goal</w:t>
            </w:r>
          </w:p>
        </w:tc>
        <w:tc>
          <w:tcPr>
            <w:tcW w:w="4216" w:type="pct"/>
          </w:tcPr>
          <w:p w14:paraId="2372B98D" w14:textId="2AF03886" w:rsidR="006141BE" w:rsidRPr="00161B7D" w:rsidRDefault="006141BE" w:rsidP="00B26B9F">
            <w:pPr>
              <w:pStyle w:val="CEPATabletext"/>
              <w:rPr>
                <w:rFonts w:eastAsiaTheme="minorHAnsi"/>
              </w:rPr>
            </w:pPr>
            <w:r w:rsidRPr="47A59489">
              <w:rPr>
                <w:rFonts w:eastAsiaTheme="minorEastAsia"/>
              </w:rPr>
              <w:t>Improved clinical outcomes for</w:t>
            </w:r>
            <w:r w:rsidR="00B55E9C">
              <w:rPr>
                <w:rFonts w:eastAsiaTheme="minorEastAsia"/>
              </w:rPr>
              <w:t xml:space="preserve"> </w:t>
            </w:r>
            <w:r w:rsidR="00B55E9C" w:rsidRPr="00B55E9C">
              <w:rPr>
                <w:rFonts w:eastAsiaTheme="minorEastAsia"/>
              </w:rPr>
              <w:t>People Living with HIV/AIDS</w:t>
            </w:r>
            <w:r w:rsidRPr="47A59489">
              <w:rPr>
                <w:rFonts w:eastAsiaTheme="minorEastAsia"/>
              </w:rPr>
              <w:t xml:space="preserve"> </w:t>
            </w:r>
            <w:r w:rsidR="00B55E9C">
              <w:rPr>
                <w:rFonts w:eastAsiaTheme="minorEastAsia"/>
              </w:rPr>
              <w:t>(</w:t>
            </w:r>
            <w:r w:rsidRPr="47A59489">
              <w:rPr>
                <w:rFonts w:eastAsiaTheme="minorEastAsia"/>
              </w:rPr>
              <w:t>PLWHA</w:t>
            </w:r>
            <w:r w:rsidR="00B55E9C">
              <w:rPr>
                <w:rFonts w:eastAsiaTheme="minorEastAsia"/>
              </w:rPr>
              <w:t>)</w:t>
            </w:r>
            <w:r w:rsidRPr="47A59489">
              <w:rPr>
                <w:rFonts w:eastAsiaTheme="minorEastAsia"/>
              </w:rPr>
              <w:t xml:space="preserve"> in resource-constrained settings through models of care for optimal use of </w:t>
            </w:r>
            <w:r>
              <w:rPr>
                <w:rFonts w:eastAsiaTheme="minorEastAsia"/>
              </w:rPr>
              <w:t>POC</w:t>
            </w:r>
            <w:r w:rsidRPr="47A59489">
              <w:rPr>
                <w:rFonts w:eastAsiaTheme="minorEastAsia"/>
              </w:rPr>
              <w:t xml:space="preserve"> CD4, laboratory-based and </w:t>
            </w:r>
            <w:r>
              <w:rPr>
                <w:rFonts w:eastAsiaTheme="minorEastAsia"/>
              </w:rPr>
              <w:t>POC</w:t>
            </w:r>
            <w:r w:rsidRPr="47A59489">
              <w:rPr>
                <w:rFonts w:eastAsiaTheme="minorEastAsia"/>
              </w:rPr>
              <w:t xml:space="preserve"> viral load and EID testing</w:t>
            </w:r>
          </w:p>
        </w:tc>
      </w:tr>
      <w:tr w:rsidR="006141BE" w14:paraId="1CA9F856" w14:textId="77777777" w:rsidTr="006141BE">
        <w:tc>
          <w:tcPr>
            <w:tcW w:w="784" w:type="pct"/>
          </w:tcPr>
          <w:p w14:paraId="0DF602A5" w14:textId="77777777" w:rsidR="006141BE" w:rsidRDefault="006141BE" w:rsidP="00B26B9F">
            <w:pPr>
              <w:pStyle w:val="CEPATabletext"/>
              <w:rPr>
                <w:rFonts w:eastAsiaTheme="minorHAnsi"/>
              </w:rPr>
            </w:pPr>
            <w:r>
              <w:rPr>
                <w:rFonts w:eastAsiaTheme="minorHAnsi"/>
              </w:rPr>
              <w:t>Purpose</w:t>
            </w:r>
          </w:p>
        </w:tc>
        <w:tc>
          <w:tcPr>
            <w:tcW w:w="4216" w:type="pct"/>
          </w:tcPr>
          <w:p w14:paraId="31D03C67" w14:textId="614E4999" w:rsidR="006141BE" w:rsidRDefault="006141BE" w:rsidP="00B26B9F">
            <w:pPr>
              <w:pStyle w:val="CEPATabletext"/>
              <w:rPr>
                <w:rFonts w:eastAsiaTheme="minorHAnsi"/>
              </w:rPr>
            </w:pPr>
            <w:r w:rsidRPr="47A59489">
              <w:rPr>
                <w:rFonts w:eastAsiaTheme="minorEastAsia"/>
              </w:rPr>
              <w:t xml:space="preserve">Increased </w:t>
            </w:r>
            <w:r>
              <w:rPr>
                <w:rFonts w:eastAsiaTheme="minorEastAsia"/>
              </w:rPr>
              <w:t>POC</w:t>
            </w:r>
            <w:r w:rsidRPr="47A59489">
              <w:rPr>
                <w:rFonts w:eastAsiaTheme="minorEastAsia"/>
              </w:rPr>
              <w:t xml:space="preserve"> CD4, laboratory-based and </w:t>
            </w:r>
            <w:r>
              <w:rPr>
                <w:rFonts w:eastAsiaTheme="minorEastAsia"/>
              </w:rPr>
              <w:t>POC</w:t>
            </w:r>
            <w:r w:rsidRPr="47A59489">
              <w:rPr>
                <w:rFonts w:eastAsiaTheme="minorEastAsia"/>
              </w:rPr>
              <w:t xml:space="preserve"> </w:t>
            </w:r>
            <w:r w:rsidR="007B10C8">
              <w:rPr>
                <w:rFonts w:eastAsiaTheme="minorEastAsia"/>
              </w:rPr>
              <w:t>VL</w:t>
            </w:r>
            <w:r w:rsidRPr="47A59489">
              <w:rPr>
                <w:rFonts w:eastAsiaTheme="minorEastAsia"/>
              </w:rPr>
              <w:t xml:space="preserve"> and EID testing according to evidence-based recommendations</w:t>
            </w:r>
          </w:p>
        </w:tc>
      </w:tr>
    </w:tbl>
    <w:p w14:paraId="35D08D81" w14:textId="6BC0A02F" w:rsidR="006141BE" w:rsidRPr="003D34C0" w:rsidRDefault="006141BE" w:rsidP="006141BE">
      <w:pPr>
        <w:pStyle w:val="CEPAReportText"/>
        <w:rPr>
          <w:rFonts w:eastAsiaTheme="minorHAnsi"/>
          <w:lang w:eastAsia="en-GB"/>
        </w:rPr>
      </w:pPr>
      <w:bookmarkStart w:id="177" w:name="_Toc473622830"/>
      <w:bookmarkStart w:id="178" w:name="_Toc473627132"/>
      <w:bookmarkStart w:id="179" w:name="_Toc473634105"/>
      <w:bookmarkStart w:id="180" w:name="_Toc476672639"/>
      <w:bookmarkStart w:id="181" w:name="_Toc476841239"/>
      <w:bookmarkStart w:id="182" w:name="_Toc496178651"/>
      <w:bookmarkStart w:id="183" w:name="_Toc496183795"/>
      <w:bookmarkStart w:id="184" w:name="_Toc496189743"/>
      <w:bookmarkStart w:id="185" w:name="_Toc496279247"/>
      <w:r w:rsidRPr="005D4C6C">
        <w:rPr>
          <w:rFonts w:eastAsiaTheme="minorHAnsi"/>
          <w:lang w:eastAsia="en-GB"/>
        </w:rPr>
        <w:t xml:space="preserve">The </w:t>
      </w:r>
      <w:r w:rsidR="00B26B9F">
        <w:rPr>
          <w:rFonts w:eastAsiaTheme="minorHAnsi"/>
          <w:lang w:eastAsia="en-GB"/>
        </w:rPr>
        <w:t>scope</w:t>
      </w:r>
      <w:r w:rsidR="00A903AF">
        <w:rPr>
          <w:rFonts w:eastAsiaTheme="minorHAnsi"/>
          <w:lang w:eastAsia="en-GB"/>
        </w:rPr>
        <w:t xml:space="preserve">, </w:t>
      </w:r>
      <w:r w:rsidR="00B26B9F">
        <w:rPr>
          <w:rFonts w:eastAsiaTheme="minorHAnsi"/>
          <w:lang w:eastAsia="en-GB"/>
        </w:rPr>
        <w:t xml:space="preserve">focus and </w:t>
      </w:r>
      <w:r w:rsidR="009079B0">
        <w:rPr>
          <w:rFonts w:eastAsiaTheme="minorHAnsi"/>
          <w:lang w:eastAsia="en-GB"/>
        </w:rPr>
        <w:t>logframe</w:t>
      </w:r>
      <w:r w:rsidRPr="005D4C6C">
        <w:rPr>
          <w:rFonts w:eastAsiaTheme="minorHAnsi"/>
          <w:lang w:eastAsia="en-GB"/>
        </w:rPr>
        <w:t xml:space="preserve"> </w:t>
      </w:r>
      <w:r w:rsidR="00017EA8">
        <w:rPr>
          <w:rFonts w:eastAsiaTheme="minorHAnsi"/>
          <w:lang w:eastAsia="en-GB"/>
        </w:rPr>
        <w:t>went through</w:t>
      </w:r>
      <w:r w:rsidRPr="005D4C6C">
        <w:rPr>
          <w:rFonts w:eastAsiaTheme="minorHAnsi"/>
          <w:lang w:eastAsia="en-GB"/>
        </w:rPr>
        <w:t xml:space="preserve"> a number of revisions, with certain indicators </w:t>
      </w:r>
      <w:r>
        <w:rPr>
          <w:rFonts w:eastAsiaTheme="minorHAnsi"/>
          <w:lang w:eastAsia="en-GB"/>
        </w:rPr>
        <w:t>and/ or targets</w:t>
      </w:r>
      <w:r w:rsidRPr="005D4C6C">
        <w:rPr>
          <w:rFonts w:eastAsiaTheme="minorHAnsi"/>
          <w:lang w:eastAsia="en-GB"/>
        </w:rPr>
        <w:t xml:space="preserve"> removed and amended</w:t>
      </w:r>
      <w:r>
        <w:rPr>
          <w:rFonts w:eastAsiaTheme="minorHAnsi"/>
          <w:lang w:eastAsia="en-GB"/>
        </w:rPr>
        <w:t xml:space="preserve">, and additional indicators </w:t>
      </w:r>
      <w:r w:rsidR="00B26B9F">
        <w:rPr>
          <w:rFonts w:eastAsiaTheme="minorHAnsi"/>
          <w:lang w:eastAsia="en-GB"/>
        </w:rPr>
        <w:t>included</w:t>
      </w:r>
      <w:r w:rsidRPr="005D4C6C">
        <w:rPr>
          <w:rFonts w:eastAsiaTheme="minorHAnsi"/>
          <w:lang w:eastAsia="en-GB"/>
        </w:rPr>
        <w:t>.</w:t>
      </w:r>
      <w:r>
        <w:rPr>
          <w:rFonts w:eastAsiaTheme="minorHAnsi"/>
          <w:lang w:eastAsia="en-GB"/>
        </w:rPr>
        <w:t xml:space="preserve"> These revisions</w:t>
      </w:r>
      <w:r w:rsidRPr="005D4C6C">
        <w:rPr>
          <w:rFonts w:eastAsiaTheme="minorHAnsi"/>
          <w:lang w:eastAsia="en-GB"/>
        </w:rPr>
        <w:t xml:space="preserve"> w</w:t>
      </w:r>
      <w:r>
        <w:rPr>
          <w:rFonts w:eastAsiaTheme="minorHAnsi"/>
          <w:lang w:eastAsia="en-GB"/>
        </w:rPr>
        <w:t>ere</w:t>
      </w:r>
      <w:r w:rsidRPr="005D4C6C">
        <w:rPr>
          <w:rFonts w:eastAsiaTheme="minorHAnsi"/>
          <w:lang w:eastAsia="en-GB"/>
        </w:rPr>
        <w:t xml:space="preserve"> due to various reasons including </w:t>
      </w:r>
      <w:r w:rsidR="00831CD7">
        <w:rPr>
          <w:rFonts w:eastAsiaTheme="minorHAnsi"/>
          <w:lang w:eastAsia="en-GB"/>
        </w:rPr>
        <w:t>changing</w:t>
      </w:r>
      <w:r w:rsidR="00831CD7" w:rsidRPr="005D4C6C">
        <w:rPr>
          <w:rFonts w:eastAsiaTheme="minorHAnsi"/>
          <w:lang w:eastAsia="en-GB"/>
        </w:rPr>
        <w:t xml:space="preserve"> </w:t>
      </w:r>
      <w:r w:rsidRPr="005D4C6C">
        <w:rPr>
          <w:rFonts w:eastAsiaTheme="minorHAnsi"/>
          <w:lang w:eastAsia="en-GB"/>
        </w:rPr>
        <w:t>policy and operational factors</w:t>
      </w:r>
      <w:r w:rsidR="009079B0">
        <w:rPr>
          <w:rFonts w:eastAsiaTheme="minorHAnsi"/>
          <w:lang w:eastAsia="en-GB"/>
        </w:rPr>
        <w:t xml:space="preserve"> </w:t>
      </w:r>
      <w:r w:rsidR="00A903AF">
        <w:rPr>
          <w:rFonts w:eastAsiaTheme="minorHAnsi"/>
          <w:lang w:eastAsia="en-GB"/>
        </w:rPr>
        <w:t>as well as</w:t>
      </w:r>
      <w:r w:rsidR="009079B0">
        <w:rPr>
          <w:rFonts w:eastAsiaTheme="minorHAnsi"/>
          <w:lang w:eastAsia="en-GB"/>
        </w:rPr>
        <w:t xml:space="preserve"> challenges with measurement of indicators</w:t>
      </w:r>
      <w:r>
        <w:rPr>
          <w:rFonts w:eastAsiaTheme="minorHAnsi"/>
          <w:lang w:eastAsia="en-GB"/>
        </w:rPr>
        <w:t>.</w:t>
      </w:r>
      <w:r w:rsidRPr="005D4C6C">
        <w:rPr>
          <w:rFonts w:eastAsiaTheme="minorHAnsi"/>
          <w:lang w:eastAsia="en-GB"/>
        </w:rPr>
        <w:t xml:space="preserve"> </w:t>
      </w:r>
      <w:r>
        <w:rPr>
          <w:rFonts w:eastAsiaTheme="minorHAnsi"/>
          <w:lang w:eastAsia="en-GB"/>
        </w:rPr>
        <w:t>F</w:t>
      </w:r>
      <w:r w:rsidRPr="005D4C6C">
        <w:rPr>
          <w:rFonts w:eastAsiaTheme="minorHAnsi"/>
          <w:lang w:eastAsia="en-GB"/>
        </w:rPr>
        <w:t>or example, there was a shift from CD4 to VL monitoring in most countries</w:t>
      </w:r>
      <w:r w:rsidR="00831CD7">
        <w:rPr>
          <w:rFonts w:eastAsiaTheme="minorHAnsi"/>
          <w:lang w:eastAsia="en-GB"/>
        </w:rPr>
        <w:t xml:space="preserve"> on account of the </w:t>
      </w:r>
      <w:r w:rsidR="00A97C59">
        <w:rPr>
          <w:rFonts w:eastAsiaTheme="minorHAnsi"/>
          <w:lang w:eastAsia="en-GB"/>
        </w:rPr>
        <w:t xml:space="preserve">new </w:t>
      </w:r>
      <w:r w:rsidR="00831CD7">
        <w:rPr>
          <w:rFonts w:eastAsiaTheme="minorHAnsi"/>
          <w:lang w:eastAsia="en-GB"/>
        </w:rPr>
        <w:t>WHO guidance</w:t>
      </w:r>
      <w:r w:rsidR="00A97C59">
        <w:rPr>
          <w:rFonts w:eastAsiaTheme="minorHAnsi"/>
          <w:lang w:eastAsia="en-GB"/>
        </w:rPr>
        <w:t xml:space="preserve"> </w:t>
      </w:r>
      <w:r w:rsidR="00A903AF">
        <w:rPr>
          <w:rFonts w:eastAsiaTheme="minorHAnsi"/>
          <w:lang w:eastAsia="en-GB"/>
        </w:rPr>
        <w:t>(</w:t>
      </w:r>
      <w:r w:rsidR="00A97C59">
        <w:rPr>
          <w:rFonts w:eastAsiaTheme="minorHAnsi"/>
          <w:lang w:eastAsia="en-GB"/>
        </w:rPr>
        <w:t>resulting in reduced emphasis</w:t>
      </w:r>
      <w:r w:rsidR="005D244B">
        <w:rPr>
          <w:rFonts w:eastAsiaTheme="minorHAnsi"/>
          <w:lang w:eastAsia="en-GB"/>
        </w:rPr>
        <w:t xml:space="preserve"> o</w:t>
      </w:r>
      <w:r w:rsidR="00A97C59">
        <w:rPr>
          <w:rFonts w:eastAsiaTheme="minorHAnsi"/>
          <w:lang w:eastAsia="en-GB"/>
        </w:rPr>
        <w:t>f CD4 related monitoring targets</w:t>
      </w:r>
      <w:r w:rsidR="00A903AF">
        <w:rPr>
          <w:rFonts w:eastAsiaTheme="minorHAnsi"/>
          <w:lang w:eastAsia="en-GB"/>
        </w:rPr>
        <w:t>)</w:t>
      </w:r>
      <w:r w:rsidR="009079B0">
        <w:rPr>
          <w:rFonts w:eastAsiaTheme="minorHAnsi"/>
          <w:lang w:eastAsia="en-GB"/>
        </w:rPr>
        <w:t xml:space="preserve">, </w:t>
      </w:r>
      <w:r w:rsidR="00831CD7">
        <w:rPr>
          <w:rFonts w:eastAsiaTheme="minorHAnsi"/>
          <w:lang w:eastAsia="en-GB"/>
        </w:rPr>
        <w:t xml:space="preserve">recognition of the </w:t>
      </w:r>
      <w:r w:rsidRPr="005D4C6C">
        <w:rPr>
          <w:rFonts w:eastAsiaTheme="minorHAnsi"/>
          <w:lang w:eastAsia="en-GB"/>
        </w:rPr>
        <w:t>limited feasibility of same-day initiation on ART following CD4 testing</w:t>
      </w:r>
      <w:r w:rsidR="00831CD7">
        <w:rPr>
          <w:rFonts w:eastAsiaTheme="minorHAnsi"/>
          <w:lang w:eastAsia="en-GB"/>
        </w:rPr>
        <w:t xml:space="preserve"> </w:t>
      </w:r>
      <w:r w:rsidR="00A903AF">
        <w:rPr>
          <w:rFonts w:eastAsiaTheme="minorHAnsi"/>
          <w:lang w:eastAsia="en-GB"/>
        </w:rPr>
        <w:t>(</w:t>
      </w:r>
      <w:r w:rsidR="00831CD7">
        <w:rPr>
          <w:rFonts w:eastAsiaTheme="minorHAnsi"/>
          <w:lang w:eastAsia="en-GB"/>
        </w:rPr>
        <w:t>and consequent revision of</w:t>
      </w:r>
      <w:r w:rsidR="00787062">
        <w:rPr>
          <w:rFonts w:eastAsiaTheme="minorHAnsi"/>
          <w:lang w:eastAsia="en-GB"/>
        </w:rPr>
        <w:t xml:space="preserve"> </w:t>
      </w:r>
      <w:r w:rsidR="00A97C59">
        <w:rPr>
          <w:rFonts w:eastAsiaTheme="minorHAnsi"/>
          <w:lang w:eastAsia="en-GB"/>
        </w:rPr>
        <w:t xml:space="preserve">related </w:t>
      </w:r>
      <w:r w:rsidR="00831CD7">
        <w:rPr>
          <w:rFonts w:eastAsiaTheme="minorHAnsi"/>
          <w:lang w:eastAsia="en-GB"/>
        </w:rPr>
        <w:t>targets)</w:t>
      </w:r>
      <w:r w:rsidR="009079B0">
        <w:rPr>
          <w:rFonts w:eastAsiaTheme="minorHAnsi"/>
          <w:lang w:eastAsia="en-GB"/>
        </w:rPr>
        <w:t>, etc</w:t>
      </w:r>
      <w:r w:rsidRPr="005D4C6C">
        <w:rPr>
          <w:rFonts w:eastAsiaTheme="minorHAnsi"/>
          <w:lang w:eastAsia="en-GB"/>
        </w:rPr>
        <w:t>.</w:t>
      </w:r>
      <w:r w:rsidR="00831CD7" w:rsidRPr="005D4C6C">
        <w:rPr>
          <w:rStyle w:val="FootnoteReference"/>
          <w:rFonts w:eastAsiaTheme="minorHAnsi"/>
          <w:lang w:eastAsia="en-GB"/>
        </w:rPr>
        <w:footnoteReference w:id="13"/>
      </w:r>
      <w:r w:rsidR="00831CD7" w:rsidRPr="007F5F65">
        <w:rPr>
          <w:rFonts w:eastAsiaTheme="minorHAnsi"/>
          <w:vertAlign w:val="superscript"/>
        </w:rPr>
        <w:t>,</w:t>
      </w:r>
      <w:r w:rsidRPr="005D4C6C">
        <w:rPr>
          <w:rStyle w:val="FootnoteReference"/>
          <w:rFonts w:eastAsiaTheme="minorHAnsi"/>
          <w:lang w:eastAsia="en-GB"/>
        </w:rPr>
        <w:footnoteReference w:id="14"/>
      </w:r>
    </w:p>
    <w:p w14:paraId="6E5D7886" w14:textId="73081B2F" w:rsidR="00831CD7" w:rsidRDefault="006141BE" w:rsidP="007F5F65">
      <w:pPr>
        <w:pStyle w:val="CEPAReportText"/>
      </w:pPr>
      <w:r>
        <w:t xml:space="preserve">In 2016, </w:t>
      </w:r>
      <w:r w:rsidR="00B55E9C">
        <w:t>Unitaid</w:t>
      </w:r>
      <w:r>
        <w:t xml:space="preserve"> and MSF agreed a no-cost extension </w:t>
      </w:r>
      <w:r w:rsidR="00831CD7">
        <w:t>until</w:t>
      </w:r>
      <w:r>
        <w:t xml:space="preserve"> December 2016</w:t>
      </w:r>
      <w:r w:rsidR="00831CD7">
        <w:t xml:space="preserve"> on account of </w:t>
      </w:r>
      <w:r w:rsidR="00017EA8">
        <w:t xml:space="preserve">the </w:t>
      </w:r>
      <w:r w:rsidR="00831CD7">
        <w:t xml:space="preserve">delayed availability of pipeline </w:t>
      </w:r>
      <w:r w:rsidR="00FF2157">
        <w:t xml:space="preserve">diagnostic technologies </w:t>
      </w:r>
      <w:r w:rsidR="00A903AF">
        <w:t>as well as the</w:t>
      </w:r>
      <w:r w:rsidR="00831CD7">
        <w:t xml:space="preserve"> delayed start of activities in countries</w:t>
      </w:r>
      <w:r>
        <w:t>.</w:t>
      </w:r>
      <w:r>
        <w:rPr>
          <w:rStyle w:val="FootnoteReference"/>
        </w:rPr>
        <w:footnoteReference w:id="15"/>
      </w:r>
      <w:r w:rsidR="00831CD7" w:rsidDel="00831CD7">
        <w:rPr>
          <w:rStyle w:val="FootnoteReference"/>
        </w:rPr>
        <w:t xml:space="preserve"> </w:t>
      </w:r>
      <w:r>
        <w:t xml:space="preserve">In 2017, a second </w:t>
      </w:r>
      <w:r w:rsidR="00831CD7">
        <w:t xml:space="preserve">extension </w:t>
      </w:r>
      <w:r>
        <w:t>was agreed</w:t>
      </w:r>
      <w:r w:rsidR="00831CD7">
        <w:t xml:space="preserve"> until </w:t>
      </w:r>
      <w:r>
        <w:t>30 April 2017</w:t>
      </w:r>
      <w:r w:rsidR="00831CD7">
        <w:t xml:space="preserve"> to complete planned operational research, procurement and close-out activities</w:t>
      </w:r>
      <w:r>
        <w:t xml:space="preserve">. </w:t>
      </w:r>
      <w:bookmarkStart w:id="186" w:name="_Toc496280848"/>
      <w:bookmarkStart w:id="187" w:name="_Toc496285476"/>
      <w:bookmarkStart w:id="188" w:name="_Toc496881746"/>
      <w:bookmarkStart w:id="189" w:name="_Toc496884931"/>
      <w:bookmarkStart w:id="190" w:name="_Toc496885941"/>
      <w:bookmarkStart w:id="191" w:name="_Toc496886899"/>
      <w:bookmarkStart w:id="192" w:name="_Toc496891123"/>
      <w:bookmarkStart w:id="193" w:name="_Toc496284470"/>
      <w:bookmarkStart w:id="194" w:name="_Toc496285322"/>
    </w:p>
    <w:p w14:paraId="42577489" w14:textId="10F8D102" w:rsidR="006141BE" w:rsidRPr="00973C9A" w:rsidRDefault="006141BE" w:rsidP="007F5F65">
      <w:pPr>
        <w:pStyle w:val="Heading2"/>
      </w:pPr>
      <w:bookmarkStart w:id="195" w:name="_Toc499825738"/>
      <w:bookmarkStart w:id="196" w:name="_Toc499827482"/>
      <w:bookmarkStart w:id="197" w:name="_Toc500074975"/>
      <w:bookmarkStart w:id="198" w:name="_Toc500077841"/>
      <w:bookmarkStart w:id="199" w:name="_Toc500179376"/>
      <w:bookmarkStart w:id="200" w:name="_Toc500445643"/>
      <w:bookmarkStart w:id="201" w:name="_Toc500503121"/>
      <w:bookmarkStart w:id="202" w:name="_Toc500508104"/>
      <w:bookmarkStart w:id="203" w:name="_Toc500512832"/>
      <w:bookmarkStart w:id="204" w:name="_Toc500517758"/>
      <w:bookmarkStart w:id="205" w:name="_Toc500519573"/>
      <w:bookmarkStart w:id="206" w:name="_Toc500524420"/>
      <w:bookmarkStart w:id="207" w:name="_Toc506417392"/>
      <w:bookmarkStart w:id="208" w:name="_Toc515359216"/>
      <w:r w:rsidRPr="00973C9A">
        <w:t xml:space="preserve">Evaluation </w:t>
      </w:r>
      <w:r>
        <w:t xml:space="preserve">objectives and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00DB5D5A">
        <w:t>methodology</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973C9A">
        <w:t xml:space="preserve"> </w:t>
      </w:r>
      <w:bookmarkEnd w:id="193"/>
    </w:p>
    <w:bookmarkEnd w:id="194"/>
    <w:p w14:paraId="6A0DE173" w14:textId="0CFAC489" w:rsidR="00C60B13" w:rsidRDefault="00C60B13" w:rsidP="00C60B13">
      <w:pPr>
        <w:pStyle w:val="Heading3"/>
      </w:pPr>
      <w:r>
        <w:t xml:space="preserve">Scope and objectives </w:t>
      </w:r>
    </w:p>
    <w:p w14:paraId="1F711268" w14:textId="318EF682" w:rsidR="006141BE" w:rsidRDefault="006141BE" w:rsidP="009A4503">
      <w:pPr>
        <w:pStyle w:val="CEPAReportText"/>
      </w:pPr>
      <w:r>
        <w:t>Based on the Terms of Reference (TOR), the</w:t>
      </w:r>
      <w:r w:rsidRPr="00C126D5">
        <w:t xml:space="preserve"> </w:t>
      </w:r>
      <w:r>
        <w:t>objective of the end</w:t>
      </w:r>
      <w:r w:rsidR="00017EA8">
        <w:t>-</w:t>
      </w:r>
      <w:r>
        <w:t>of</w:t>
      </w:r>
      <w:r w:rsidR="00017EA8">
        <w:t>-</w:t>
      </w:r>
      <w:r>
        <w:t xml:space="preserve">project evaluation is to assess the programmatic implementation of the project with a particular focus on </w:t>
      </w:r>
      <w:r w:rsidR="00017EA8">
        <w:t>its</w:t>
      </w:r>
      <w:r>
        <w:t xml:space="preserve"> contribution to public health impact and in catalysing access to diagnosis and linkage to care in project countries. </w:t>
      </w:r>
      <w:r w:rsidR="009A4503">
        <w:t>T</w:t>
      </w:r>
      <w:r>
        <w:t xml:space="preserve">he following </w:t>
      </w:r>
      <w:r w:rsidR="00831CD7">
        <w:t>are</w:t>
      </w:r>
      <w:r>
        <w:t xml:space="preserve"> the </w:t>
      </w:r>
      <w:r w:rsidR="00A903AF">
        <w:t>main</w:t>
      </w:r>
      <w:r>
        <w:t xml:space="preserve"> areas </w:t>
      </w:r>
      <w:r w:rsidR="00A903AF">
        <w:t>of assessment</w:t>
      </w:r>
      <w:r>
        <w:t>:</w:t>
      </w:r>
    </w:p>
    <w:p w14:paraId="4FDBD009" w14:textId="261843C7" w:rsidR="006141BE" w:rsidRDefault="00017EA8" w:rsidP="006141BE">
      <w:pPr>
        <w:pStyle w:val="CEPABullets"/>
      </w:pPr>
      <w:r>
        <w:t>Progress</w:t>
      </w:r>
      <w:r w:rsidR="006141BE">
        <w:t xml:space="preserve"> made </w:t>
      </w:r>
      <w:r>
        <w:t xml:space="preserve">against the project’s </w:t>
      </w:r>
      <w:r w:rsidR="006141BE">
        <w:t>goal, outcomes and outputs as well as the range of activities contributing to each output</w:t>
      </w:r>
      <w:r w:rsidR="00831CD7">
        <w:t xml:space="preserve">, including a summary assessment of the value of </w:t>
      </w:r>
      <w:r w:rsidR="00B55E9C">
        <w:t>Unitaid</w:t>
      </w:r>
      <w:r w:rsidR="00831CD7">
        <w:t>’s investment in this grant</w:t>
      </w:r>
      <w:r w:rsidR="00690BEA">
        <w:t xml:space="preserve">, also using the Key Performance Indicator (KPI) framework under </w:t>
      </w:r>
      <w:r w:rsidR="00B55E9C">
        <w:t>Unitaid</w:t>
      </w:r>
      <w:r w:rsidR="00690BEA">
        <w:t>’s new 2017-21 Strategy</w:t>
      </w:r>
      <w:r w:rsidR="006141BE">
        <w:t xml:space="preserve">; </w:t>
      </w:r>
    </w:p>
    <w:p w14:paraId="3EC8C236" w14:textId="35D802ED" w:rsidR="006141BE" w:rsidRDefault="00017EA8" w:rsidP="006141BE">
      <w:pPr>
        <w:pStyle w:val="CEPABullets"/>
      </w:pPr>
      <w:r>
        <w:t>Potential</w:t>
      </w:r>
      <w:r w:rsidR="006141BE">
        <w:t xml:space="preserve"> public health impact (direct and indirect) from decentralised testing services and disease monitoring;</w:t>
      </w:r>
      <w:r w:rsidR="00A903AF">
        <w:rPr>
          <w:rStyle w:val="FootnoteReference"/>
        </w:rPr>
        <w:footnoteReference w:id="16"/>
      </w:r>
    </w:p>
    <w:p w14:paraId="36CF5C66" w14:textId="38F65CA3" w:rsidR="006141BE" w:rsidRDefault="00017EA8" w:rsidP="006141BE">
      <w:pPr>
        <w:pStyle w:val="CEPABullets"/>
      </w:pPr>
      <w:r>
        <w:t>Contribution</w:t>
      </w:r>
      <w:r w:rsidR="006141BE">
        <w:t xml:space="preserve"> of the project to addressing barriers</w:t>
      </w:r>
      <w:r>
        <w:t xml:space="preserve"> to access</w:t>
      </w:r>
      <w:r w:rsidR="006141BE">
        <w:t xml:space="preserve">, using the </w:t>
      </w:r>
      <w:r w:rsidR="00B55E9C">
        <w:t>Unitaid</w:t>
      </w:r>
      <w:r w:rsidR="006141BE">
        <w:t xml:space="preserve"> framework that considers aspects such as demand and adoption, innovation and availability, </w:t>
      </w:r>
      <w:r w:rsidR="00A903AF">
        <w:t>amongst others</w:t>
      </w:r>
      <w:r w:rsidR="006141BE">
        <w:t xml:space="preserve">; </w:t>
      </w:r>
    </w:p>
    <w:p w14:paraId="4C18732B" w14:textId="63BDE63D" w:rsidR="006141BE" w:rsidRDefault="00017EA8" w:rsidP="006141BE">
      <w:pPr>
        <w:pStyle w:val="CEPABullets"/>
      </w:pPr>
      <w:r>
        <w:t>The</w:t>
      </w:r>
      <w:r w:rsidR="006141BE">
        <w:t xml:space="preserve"> catalytic effect on patient access to services attained through a combination of an improved policy environment (at</w:t>
      </w:r>
      <w:r w:rsidR="00A903AF">
        <w:t xml:space="preserve"> the global and country levels) and</w:t>
      </w:r>
      <w:r w:rsidR="006141BE">
        <w:t xml:space="preserve"> increased evidence of feasible implementation of complementary testing technologies;</w:t>
      </w:r>
    </w:p>
    <w:p w14:paraId="610728B6" w14:textId="59822B7D" w:rsidR="006141BE" w:rsidRDefault="00017EA8" w:rsidP="006141BE">
      <w:pPr>
        <w:pStyle w:val="CEPABullets"/>
      </w:pPr>
      <w:r>
        <w:t>Experience</w:t>
      </w:r>
      <w:r w:rsidR="006141BE">
        <w:t xml:space="preserve"> </w:t>
      </w:r>
      <w:r>
        <w:t>of</w:t>
      </w:r>
      <w:r w:rsidR="006141BE">
        <w:t xml:space="preserve"> transitioning of project sites</w:t>
      </w:r>
      <w:r w:rsidR="00A903AF">
        <w:t xml:space="preserve"> to governments and other donors</w:t>
      </w:r>
      <w:r w:rsidR="006141BE">
        <w:t xml:space="preserve">, also within the context of potential for scalability of testing services (recognising that scale-up was not a specific project objective); and </w:t>
      </w:r>
    </w:p>
    <w:p w14:paraId="6AB1C421" w14:textId="510B8A29" w:rsidR="006141BE" w:rsidRPr="00FD3979" w:rsidRDefault="00017EA8" w:rsidP="006141BE">
      <w:pPr>
        <w:pStyle w:val="CEPABullets"/>
      </w:pPr>
      <w:r>
        <w:t xml:space="preserve">To consider the above in terms of not only of what can be attributed to the project, but also its complementarity with Unitaid’s broader portfolio in </w:t>
      </w:r>
      <w:r w:rsidR="00FF2157">
        <w:t>HIV diagnostics and monitoring</w:t>
      </w:r>
      <w:r w:rsidR="006141BE">
        <w:t xml:space="preserve">. </w:t>
      </w:r>
    </w:p>
    <w:p w14:paraId="0B5282F4" w14:textId="76AF9847" w:rsidR="00C60B13" w:rsidRDefault="00C60B13" w:rsidP="00C60B13">
      <w:pPr>
        <w:pStyle w:val="Heading3"/>
      </w:pPr>
      <w:r>
        <w:t xml:space="preserve">Evaluation framework </w:t>
      </w:r>
    </w:p>
    <w:p w14:paraId="4FD9AE5D" w14:textId="086B2A69" w:rsidR="008B7745" w:rsidRDefault="008B7745" w:rsidP="008B7745">
      <w:pPr>
        <w:pStyle w:val="CEPAReportText"/>
      </w:pPr>
      <w:r>
        <w:t xml:space="preserve">Figure 1.1 provides the evaluation framework, encompassing the range of OECD DAC evaluation criteria, </w:t>
      </w:r>
      <w:r w:rsidR="00E35E4C">
        <w:t xml:space="preserve">and </w:t>
      </w:r>
      <w:r>
        <w:t>including a review of:</w:t>
      </w:r>
      <w:r w:rsidDel="00715F16">
        <w:t xml:space="preserve"> </w:t>
      </w:r>
    </w:p>
    <w:p w14:paraId="6D031713" w14:textId="77777777" w:rsidR="008B7745" w:rsidRDefault="008B7745" w:rsidP="008B7745">
      <w:pPr>
        <w:pStyle w:val="CEPABullets"/>
      </w:pPr>
      <w:r>
        <w:rPr>
          <w:b/>
        </w:rPr>
        <w:t xml:space="preserve">Relevance: </w:t>
      </w:r>
      <w:r>
        <w:t>focusing on a review of the alignment with Unitaid’s strategy and HIV diagnostics portfolio as well as the global priorities and response to HIV.</w:t>
      </w:r>
    </w:p>
    <w:p w14:paraId="2A992652" w14:textId="665A6C9C" w:rsidR="008B7745" w:rsidRDefault="008B7745" w:rsidP="008B7745">
      <w:pPr>
        <w:pStyle w:val="CEPABullets"/>
      </w:pPr>
      <w:r>
        <w:rPr>
          <w:b/>
        </w:rPr>
        <w:t xml:space="preserve">Efficiency and effectiveness: </w:t>
      </w:r>
      <w:r>
        <w:t>focusing on project management by the grantee (e.g. budget efficiency and timeliness) and the implementation of project activities, and its successes and challenges.</w:t>
      </w:r>
    </w:p>
    <w:p w14:paraId="505FD95A" w14:textId="241A8509" w:rsidR="008B7745" w:rsidRPr="00B77E4D" w:rsidRDefault="008B7745" w:rsidP="008B7745">
      <w:pPr>
        <w:pStyle w:val="CEPABullets"/>
      </w:pPr>
      <w:r w:rsidRPr="00B77E4D">
        <w:rPr>
          <w:b/>
        </w:rPr>
        <w:t xml:space="preserve">Impact and sustainability: </w:t>
      </w:r>
      <w:r>
        <w:t xml:space="preserve">focusing on the extent to which the project has addressed access barriers, public health impact </w:t>
      </w:r>
      <w:r w:rsidR="00E35E4C">
        <w:t>and</w:t>
      </w:r>
      <w:r>
        <w:t xml:space="preserve"> potential for sustainability and scalability. </w:t>
      </w:r>
    </w:p>
    <w:p w14:paraId="2BF23449" w14:textId="54278172" w:rsidR="008B7745" w:rsidRDefault="008B7745" w:rsidP="008B7745">
      <w:pPr>
        <w:pStyle w:val="CEPAReportText"/>
      </w:pPr>
      <w:r w:rsidRPr="008B7745">
        <w:t>Findings across the evaluation questions h</w:t>
      </w:r>
      <w:r w:rsidR="00E35E4C">
        <w:t>ave</w:t>
      </w:r>
      <w:r w:rsidRPr="008B7745">
        <w:t xml:space="preserve"> supported the development of conclusions, and lessons learnt.</w:t>
      </w:r>
    </w:p>
    <w:p w14:paraId="5B51B4F6" w14:textId="5BCE4CC2" w:rsidR="0066647B" w:rsidRDefault="006141BE" w:rsidP="00715F16">
      <w:pPr>
        <w:pStyle w:val="CEPADiagramLabel"/>
        <w:jc w:val="left"/>
      </w:pPr>
      <w:r>
        <w:t xml:space="preserve">Figure </w:t>
      </w:r>
      <w:r w:rsidR="008B7745">
        <w:t>1.1</w:t>
      </w:r>
      <w:r>
        <w:t>: Evaluation framework</w:t>
      </w:r>
      <w:r w:rsidR="000350C3" w:rsidRPr="000350C3">
        <w:t xml:space="preserve"> </w:t>
      </w:r>
      <w:r w:rsidR="000350C3" w:rsidRPr="000350C3">
        <w:rPr>
          <w:noProof/>
          <w:lang w:val="en-US"/>
        </w:rPr>
        <w:drawing>
          <wp:inline distT="0" distB="0" distL="0" distR="0" wp14:anchorId="241FB895" wp14:editId="0DE30496">
            <wp:extent cx="5722483" cy="2695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459" cy="2701216"/>
                    </a:xfrm>
                    <a:prstGeom prst="rect">
                      <a:avLst/>
                    </a:prstGeom>
                    <a:noFill/>
                    <a:ln>
                      <a:noFill/>
                    </a:ln>
                  </pic:spPr>
                </pic:pic>
              </a:graphicData>
            </a:graphic>
          </wp:inline>
        </w:drawing>
      </w:r>
    </w:p>
    <w:p w14:paraId="788F6997" w14:textId="77777777" w:rsidR="00E35E4C" w:rsidRDefault="00E35E4C" w:rsidP="00E35E4C">
      <w:pPr>
        <w:pStyle w:val="CEPAReportText"/>
      </w:pPr>
    </w:p>
    <w:p w14:paraId="4971CE35" w14:textId="0FDF842A" w:rsidR="00C60B13" w:rsidRDefault="00C60B13" w:rsidP="00C60B13">
      <w:pPr>
        <w:pStyle w:val="Heading3"/>
      </w:pPr>
      <w:r>
        <w:t xml:space="preserve">Evaluation methods and their limitations </w:t>
      </w:r>
    </w:p>
    <w:p w14:paraId="5A09153E" w14:textId="5452F539" w:rsidR="006141BE" w:rsidRDefault="00DB5D5A" w:rsidP="00DB5D5A">
      <w:pPr>
        <w:pStyle w:val="CEPAReportText"/>
      </w:pPr>
      <w:r>
        <w:t xml:space="preserve">A </w:t>
      </w:r>
      <w:r w:rsidR="006141BE">
        <w:t xml:space="preserve">mixed-methods approach </w:t>
      </w:r>
      <w:r>
        <w:t xml:space="preserve">has been employed </w:t>
      </w:r>
      <w:r w:rsidR="006141BE">
        <w:t xml:space="preserve">for the evaluation, comprising: </w:t>
      </w:r>
    </w:p>
    <w:p w14:paraId="2980C537" w14:textId="6ABE12FF" w:rsidR="006141BE" w:rsidRDefault="006141BE" w:rsidP="006141BE">
      <w:pPr>
        <w:pStyle w:val="CEPABullets"/>
      </w:pPr>
      <w:r>
        <w:rPr>
          <w:b/>
        </w:rPr>
        <w:t xml:space="preserve">Document review: </w:t>
      </w:r>
      <w:r>
        <w:t>including a review of project documents (e.g. project plan, annual reporting), key publications (e.g. the MSF</w:t>
      </w:r>
      <w:r w:rsidR="00067DA6">
        <w:t xml:space="preserve"> </w:t>
      </w:r>
      <w:r w:rsidR="00067DA6" w:rsidRPr="00F10F16">
        <w:rPr>
          <w:rFonts w:asciiTheme="minorHAnsi" w:hAnsiTheme="minorHAnsi" w:cstheme="minorHAnsi"/>
          <w:szCs w:val="22"/>
        </w:rPr>
        <w:t>Southern Africa Medical Unit</w:t>
      </w:r>
      <w:r>
        <w:t xml:space="preserve"> </w:t>
      </w:r>
      <w:r w:rsidR="00067DA6">
        <w:t>(</w:t>
      </w:r>
      <w:r>
        <w:t>SAMU</w:t>
      </w:r>
      <w:r w:rsidR="00067DA6">
        <w:t>)</w:t>
      </w:r>
      <w:r>
        <w:t xml:space="preserve"> Viral Load Toolkit</w:t>
      </w:r>
      <w:r w:rsidR="00C60B13">
        <w:t xml:space="preserve">, </w:t>
      </w:r>
      <w:r>
        <w:t xml:space="preserve">the 2016 Making Viral Load Routine publication) and broader relevant documents (e.g. the 2017-21 </w:t>
      </w:r>
      <w:r w:rsidR="00B55E9C">
        <w:t>Unitaid</w:t>
      </w:r>
      <w:r>
        <w:t xml:space="preserve"> Strategy). </w:t>
      </w:r>
      <w:r w:rsidR="00DB5D5A">
        <w:t xml:space="preserve">Annex A provides the list of key references. </w:t>
      </w:r>
    </w:p>
    <w:p w14:paraId="4C1A92B7" w14:textId="77777777" w:rsidR="006141BE" w:rsidRDefault="006141BE" w:rsidP="006141BE">
      <w:pPr>
        <w:pStyle w:val="CEPABullets"/>
      </w:pPr>
      <w:r>
        <w:rPr>
          <w:b/>
        </w:rPr>
        <w:t xml:space="preserve">Data analysis: </w:t>
      </w:r>
      <w:r>
        <w:t xml:space="preserve">including an analysis of project data such as data on project results and impacts, budgets and expenditure, procurement, etc. </w:t>
      </w:r>
    </w:p>
    <w:p w14:paraId="327B581D" w14:textId="36203CB6" w:rsidR="006141BE" w:rsidRDefault="006141BE" w:rsidP="00D239CB">
      <w:pPr>
        <w:pStyle w:val="CEPABullets"/>
      </w:pPr>
      <w:r>
        <w:rPr>
          <w:b/>
        </w:rPr>
        <w:t xml:space="preserve">Stakeholder consultations: </w:t>
      </w:r>
      <w:r>
        <w:t xml:space="preserve">including with the </w:t>
      </w:r>
      <w:r w:rsidR="00B55E9C">
        <w:t>Unitaid</w:t>
      </w:r>
      <w:r>
        <w:t xml:space="preserve"> Secretariat, MSF project team (globally and in country) as well as other relevant stakeholders (e.g. WHO, donors, other </w:t>
      </w:r>
      <w:r w:rsidR="00B55E9C">
        <w:t>Unitaid</w:t>
      </w:r>
      <w:r>
        <w:t xml:space="preserve"> grantees) Annex B provides </w:t>
      </w:r>
      <w:r w:rsidR="00DB5D5A">
        <w:t>the</w:t>
      </w:r>
      <w:r>
        <w:t xml:space="preserve"> list of </w:t>
      </w:r>
      <w:r w:rsidR="00C60B13">
        <w:t>consultees</w:t>
      </w:r>
      <w:r w:rsidR="009079B0">
        <w:t xml:space="preserve"> and interview guides</w:t>
      </w:r>
      <w:r>
        <w:t xml:space="preserve">.  </w:t>
      </w:r>
    </w:p>
    <w:p w14:paraId="40F01E03" w14:textId="69AF02F5" w:rsidR="006141BE" w:rsidRDefault="006141BE" w:rsidP="006141BE">
      <w:pPr>
        <w:pStyle w:val="CEPABullets"/>
      </w:pPr>
      <w:r>
        <w:rPr>
          <w:b/>
        </w:rPr>
        <w:t xml:space="preserve">Country field visits: </w:t>
      </w:r>
      <w:r>
        <w:t xml:space="preserve">to Zimbabwe and Malawi, where we </w:t>
      </w:r>
      <w:r w:rsidR="00DB5D5A">
        <w:t>have consulted wi</w:t>
      </w:r>
      <w:r>
        <w:t xml:space="preserve">th </w:t>
      </w:r>
      <w:r w:rsidR="00DB5D5A">
        <w:t xml:space="preserve">the </w:t>
      </w:r>
      <w:r>
        <w:t xml:space="preserve">MSF country office and project representatives, government, donors and relevant partners (e.g. WHO, </w:t>
      </w:r>
      <w:r w:rsidR="00C60B13">
        <w:t xml:space="preserve">USAID, </w:t>
      </w:r>
      <w:r>
        <w:t xml:space="preserve">Global Fund </w:t>
      </w:r>
      <w:r w:rsidR="00C60B13">
        <w:t>representatives</w:t>
      </w:r>
      <w:r>
        <w:t xml:space="preserve">, CHAI), </w:t>
      </w:r>
      <w:r w:rsidR="00B61C4F">
        <w:t>civil society organisations (</w:t>
      </w:r>
      <w:r>
        <w:t>CSOs</w:t>
      </w:r>
      <w:r w:rsidR="00B61C4F">
        <w:t>)</w:t>
      </w:r>
      <w:r>
        <w:t xml:space="preserve">, etc. </w:t>
      </w:r>
      <w:r w:rsidR="009079B0">
        <w:t xml:space="preserve">Annex B also includes a list of </w:t>
      </w:r>
      <w:r w:rsidR="00C60B13">
        <w:t>consultees for the country visits</w:t>
      </w:r>
      <w:r w:rsidR="009079B0">
        <w:t xml:space="preserve"> and corresponding interview guides. </w:t>
      </w:r>
    </w:p>
    <w:p w14:paraId="1507719B" w14:textId="5C112F44" w:rsidR="00FA53CD" w:rsidRPr="00DA42A1" w:rsidRDefault="009079B0" w:rsidP="00411B0D">
      <w:pPr>
        <w:pStyle w:val="CEPAReportText"/>
      </w:pPr>
      <w:bookmarkStart w:id="209" w:name="_Toc499825739"/>
      <w:r>
        <w:t xml:space="preserve">Key </w:t>
      </w:r>
      <w:r>
        <w:rPr>
          <w:b/>
        </w:rPr>
        <w:t xml:space="preserve">evaluation limitations </w:t>
      </w:r>
      <w:r>
        <w:t>include</w:t>
      </w:r>
      <w:r w:rsidR="00C60B13">
        <w:t>: (i)</w:t>
      </w:r>
      <w:r>
        <w:t xml:space="preserve"> </w:t>
      </w:r>
      <w:r w:rsidR="00C60B13">
        <w:t xml:space="preserve">limited generalisability of findings as there has been an </w:t>
      </w:r>
      <w:r>
        <w:t>in-depth assessment</w:t>
      </w:r>
      <w:r w:rsidR="00C60B13">
        <w:t xml:space="preserve"> for two of the nine p</w:t>
      </w:r>
      <w:r>
        <w:t>roject countries only (although our global-level consultations have supported wider corroboration of country-specifi</w:t>
      </w:r>
      <w:r w:rsidR="00C60B13">
        <w:t xml:space="preserve">c findings); (ii) challenges with the M&amp;E data due to </w:t>
      </w:r>
      <w:r>
        <w:t xml:space="preserve">frequent updates to the logframe indicators and targets, discrepancies between </w:t>
      </w:r>
      <w:r w:rsidR="00C60B13">
        <w:t>annual reporting</w:t>
      </w:r>
      <w:r>
        <w:t>)</w:t>
      </w:r>
      <w:r w:rsidR="00C60B13">
        <w:t xml:space="preserve">; and (iii) </w:t>
      </w:r>
      <w:r w:rsidR="00411B0D">
        <w:t>stakeholder bias</w:t>
      </w:r>
      <w:r w:rsidR="00C60B13">
        <w:t>,</w:t>
      </w:r>
      <w:r w:rsidR="00411B0D">
        <w:t xml:space="preserve"> </w:t>
      </w:r>
      <w:r w:rsidR="00C60B13">
        <w:t>e</w:t>
      </w:r>
      <w:r w:rsidR="00411B0D">
        <w:t xml:space="preserve">specially given that </w:t>
      </w:r>
      <w:r w:rsidR="00FA53CD" w:rsidRPr="00766483">
        <w:t xml:space="preserve">consultations have been a key evidence source </w:t>
      </w:r>
      <w:r w:rsidR="00411B0D">
        <w:t xml:space="preserve">(although we </w:t>
      </w:r>
      <w:r w:rsidR="00FA53CD" w:rsidRPr="00766483">
        <w:t>have attempted to minimise the impact of this by triangulating views across stakeholders and other sources of evidence</w:t>
      </w:r>
      <w:r w:rsidR="00411B0D">
        <w:t>)</w:t>
      </w:r>
      <w:r w:rsidR="00FA53CD" w:rsidRPr="00766483">
        <w:t xml:space="preserve">. </w:t>
      </w:r>
    </w:p>
    <w:p w14:paraId="0570856A" w14:textId="48D68540" w:rsidR="00125677" w:rsidRPr="00B943ED" w:rsidDel="00082A29" w:rsidRDefault="00125677" w:rsidP="006141BE">
      <w:pPr>
        <w:pStyle w:val="Heading2"/>
      </w:pPr>
      <w:bookmarkStart w:id="210" w:name="_Toc500415476"/>
      <w:bookmarkStart w:id="211" w:name="_Toc499827483"/>
      <w:bookmarkStart w:id="212" w:name="_Toc500074976"/>
      <w:bookmarkStart w:id="213" w:name="_Toc500077842"/>
      <w:bookmarkStart w:id="214" w:name="_Toc500179377"/>
      <w:bookmarkStart w:id="215" w:name="_Toc500445644"/>
      <w:bookmarkStart w:id="216" w:name="_Toc500503122"/>
      <w:bookmarkStart w:id="217" w:name="_Toc500508105"/>
      <w:bookmarkStart w:id="218" w:name="_Toc500512833"/>
      <w:bookmarkStart w:id="219" w:name="_Toc500517759"/>
      <w:bookmarkStart w:id="220" w:name="_Toc500519574"/>
      <w:bookmarkStart w:id="221" w:name="_Toc500524421"/>
      <w:bookmarkStart w:id="222" w:name="_Toc506417393"/>
      <w:bookmarkStart w:id="223" w:name="_Toc515359217"/>
      <w:bookmarkEnd w:id="210"/>
      <w:r w:rsidRPr="00B943ED" w:rsidDel="00082A29">
        <w:t>Structure of the report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p>
    <w:p w14:paraId="1A4F32D3" w14:textId="77777777" w:rsidR="00C60B13" w:rsidRDefault="00125677" w:rsidP="00411B0D">
      <w:pPr>
        <w:pStyle w:val="CEPAReportText"/>
      </w:pPr>
      <w:r w:rsidRPr="00B943ED" w:rsidDel="00082A29">
        <w:t>The report is structured as follows:</w:t>
      </w:r>
      <w:r w:rsidRPr="00B943ED">
        <w:t xml:space="preserve"> </w:t>
      </w:r>
    </w:p>
    <w:p w14:paraId="492026EB" w14:textId="77777777" w:rsidR="00C60B13" w:rsidRDefault="00125677" w:rsidP="00C60B13">
      <w:pPr>
        <w:pStyle w:val="CEPABullets"/>
      </w:pPr>
      <w:r w:rsidRPr="00B943ED">
        <w:t xml:space="preserve">Sections 2-4 present analysis and findings across each of the three evaluation dimensions of relevance, implementation efficiency and effectiveness and </w:t>
      </w:r>
      <w:r w:rsidR="00DB5D5A">
        <w:t>impact and sustainability</w:t>
      </w:r>
      <w:r w:rsidRPr="00B943ED">
        <w:t xml:space="preserve">. </w:t>
      </w:r>
    </w:p>
    <w:p w14:paraId="0CBC5371" w14:textId="4474725C" w:rsidR="00411B0D" w:rsidRDefault="00125677" w:rsidP="00C60B13">
      <w:pPr>
        <w:pStyle w:val="CEPABullets"/>
      </w:pPr>
      <w:r w:rsidRPr="00B943ED">
        <w:t xml:space="preserve">Section 5 presents </w:t>
      </w:r>
      <w:r w:rsidR="00411B0D">
        <w:t>the evaluation conclusions</w:t>
      </w:r>
      <w:r w:rsidR="00D8480E">
        <w:t xml:space="preserve"> and lessons learnt</w:t>
      </w:r>
      <w:r w:rsidRPr="00B943ED">
        <w:t>.</w:t>
      </w:r>
      <w:r w:rsidR="00411B0D">
        <w:t xml:space="preserve"> </w:t>
      </w:r>
    </w:p>
    <w:p w14:paraId="5A1B8D84" w14:textId="77777777" w:rsidR="00C60B13" w:rsidRDefault="00125677" w:rsidP="00022771">
      <w:pPr>
        <w:pStyle w:val="CEPAReportText"/>
      </w:pPr>
      <w:r w:rsidRPr="00B943ED">
        <w:t xml:space="preserve">The main report is supported by the following annexes: </w:t>
      </w:r>
    </w:p>
    <w:p w14:paraId="72102AE3" w14:textId="2CA9E6DD" w:rsidR="00C60B13" w:rsidRPr="00C60B13" w:rsidRDefault="00125677" w:rsidP="00C60B13">
      <w:pPr>
        <w:pStyle w:val="CEPABullets"/>
        <w:rPr>
          <w:rFonts w:cs="Arial"/>
          <w:b/>
          <w:bCs/>
          <w:smallCaps/>
          <w:kern w:val="32"/>
          <w:sz w:val="28"/>
          <w:szCs w:val="28"/>
        </w:rPr>
      </w:pPr>
      <w:r w:rsidRPr="00B943ED">
        <w:t xml:space="preserve">Annex A </w:t>
      </w:r>
      <w:r w:rsidR="00BE57C3">
        <w:t>lists</w:t>
      </w:r>
      <w:r w:rsidRPr="00B943ED">
        <w:t xml:space="preserve"> the bibliography; </w:t>
      </w:r>
    </w:p>
    <w:p w14:paraId="47E512B2" w14:textId="0A1C991C" w:rsidR="00C60B13" w:rsidRPr="00C60B13" w:rsidRDefault="00125677" w:rsidP="00C60B13">
      <w:pPr>
        <w:pStyle w:val="CEPABullets"/>
        <w:rPr>
          <w:rFonts w:cs="Arial"/>
          <w:b/>
          <w:bCs/>
          <w:smallCaps/>
          <w:kern w:val="32"/>
          <w:sz w:val="28"/>
          <w:szCs w:val="28"/>
        </w:rPr>
      </w:pPr>
      <w:r w:rsidRPr="00B943ED">
        <w:t xml:space="preserve">Annex B </w:t>
      </w:r>
      <w:r w:rsidR="00BE57C3">
        <w:t>includes</w:t>
      </w:r>
      <w:r w:rsidRPr="00B943ED">
        <w:t xml:space="preserve"> the list of </w:t>
      </w:r>
      <w:r w:rsidR="00010D46">
        <w:t>consultations and interview guides;</w:t>
      </w:r>
      <w:r w:rsidR="00411B0D">
        <w:t xml:space="preserve"> </w:t>
      </w:r>
    </w:p>
    <w:p w14:paraId="551D7B31" w14:textId="77777777" w:rsidR="00C60B13" w:rsidRPr="00C60B13" w:rsidRDefault="00411B0D" w:rsidP="00C60B13">
      <w:pPr>
        <w:pStyle w:val="CEPABullets"/>
        <w:rPr>
          <w:rFonts w:cs="Arial"/>
          <w:b/>
          <w:bCs/>
          <w:smallCaps/>
          <w:kern w:val="32"/>
          <w:sz w:val="28"/>
          <w:szCs w:val="28"/>
        </w:rPr>
      </w:pPr>
      <w:r>
        <w:t xml:space="preserve">Annex C presents a mapping of </w:t>
      </w:r>
      <w:r w:rsidR="00B55E9C">
        <w:t>Unitaid</w:t>
      </w:r>
      <w:r>
        <w:t xml:space="preserve"> 2013-16 Strategy objectives and the focus of the MSF project</w:t>
      </w:r>
      <w:r w:rsidR="00C60B13">
        <w:t>;</w:t>
      </w:r>
    </w:p>
    <w:p w14:paraId="192ADC8C" w14:textId="062A7D0D" w:rsidR="00E12473" w:rsidRPr="00E12473" w:rsidRDefault="00411B0D" w:rsidP="00C60B13">
      <w:pPr>
        <w:pStyle w:val="CEPABullets"/>
        <w:rPr>
          <w:rFonts w:cs="Arial"/>
          <w:b/>
          <w:bCs/>
          <w:smallCaps/>
          <w:kern w:val="32"/>
          <w:sz w:val="28"/>
          <w:szCs w:val="28"/>
        </w:rPr>
      </w:pPr>
      <w:r>
        <w:t xml:space="preserve">Annex D </w:t>
      </w:r>
      <w:r w:rsidR="00044D06">
        <w:t>is</w:t>
      </w:r>
      <w:r>
        <w:t xml:space="preserve"> a summary analysis of the linkages of the MSF project with </w:t>
      </w:r>
      <w:r w:rsidR="00B55E9C">
        <w:t>Unitaid</w:t>
      </w:r>
      <w:r>
        <w:t>’s broader diagnostics portfolio</w:t>
      </w:r>
      <w:r w:rsidR="00E12473">
        <w:t>;</w:t>
      </w:r>
    </w:p>
    <w:p w14:paraId="1D0184D8" w14:textId="545DC5C4" w:rsidR="00E12473" w:rsidRPr="00E12473" w:rsidRDefault="00411B0D" w:rsidP="00C60B13">
      <w:pPr>
        <w:pStyle w:val="CEPABullets"/>
        <w:rPr>
          <w:rFonts w:cs="Arial"/>
          <w:b/>
          <w:bCs/>
          <w:smallCaps/>
          <w:kern w:val="32"/>
          <w:sz w:val="28"/>
          <w:szCs w:val="28"/>
        </w:rPr>
      </w:pPr>
      <w:r>
        <w:t>Annex E pr</w:t>
      </w:r>
      <w:r w:rsidR="00BE57C3">
        <w:t>ovides</w:t>
      </w:r>
      <w:r>
        <w:t xml:space="preserve"> the project logframe and summary progress; </w:t>
      </w:r>
    </w:p>
    <w:p w14:paraId="1E8EE84B" w14:textId="2C78C745" w:rsidR="00E12473" w:rsidRPr="00E12473" w:rsidRDefault="00411B0D" w:rsidP="00C60B13">
      <w:pPr>
        <w:pStyle w:val="CEPABullets"/>
        <w:rPr>
          <w:rFonts w:cs="Arial"/>
          <w:b/>
          <w:bCs/>
          <w:smallCaps/>
          <w:kern w:val="32"/>
          <w:sz w:val="28"/>
          <w:szCs w:val="28"/>
        </w:rPr>
      </w:pPr>
      <w:r>
        <w:t xml:space="preserve">Annex F </w:t>
      </w:r>
      <w:r w:rsidR="00BE57C3">
        <w:t>offers</w:t>
      </w:r>
      <w:r>
        <w:t xml:space="preserve"> </w:t>
      </w:r>
      <w:r w:rsidR="00022771">
        <w:t xml:space="preserve">some key points on project procurement based on the annual reports; </w:t>
      </w:r>
    </w:p>
    <w:p w14:paraId="1808221B" w14:textId="65444985" w:rsidR="00E12473" w:rsidRPr="00E12473" w:rsidRDefault="00022771" w:rsidP="00C60B13">
      <w:pPr>
        <w:pStyle w:val="CEPABullets"/>
        <w:rPr>
          <w:rFonts w:cs="Arial"/>
          <w:b/>
          <w:bCs/>
          <w:smallCaps/>
          <w:kern w:val="32"/>
          <w:sz w:val="28"/>
          <w:szCs w:val="28"/>
        </w:rPr>
      </w:pPr>
      <w:r>
        <w:t xml:space="preserve">Annex G </w:t>
      </w:r>
      <w:r w:rsidR="00BE57C3">
        <w:t>includes</w:t>
      </w:r>
      <w:r>
        <w:t xml:space="preserve"> a summary of project experiences across countries based on the annual reports; </w:t>
      </w:r>
    </w:p>
    <w:p w14:paraId="2BFDC06E" w14:textId="1AFCCD6B" w:rsidR="00E12473" w:rsidRPr="00E12473" w:rsidRDefault="00022771" w:rsidP="00C60B13">
      <w:pPr>
        <w:pStyle w:val="CEPABullets"/>
        <w:rPr>
          <w:rFonts w:cs="Arial"/>
          <w:b/>
          <w:bCs/>
          <w:smallCaps/>
          <w:kern w:val="32"/>
          <w:sz w:val="28"/>
          <w:szCs w:val="28"/>
        </w:rPr>
      </w:pPr>
      <w:r>
        <w:t xml:space="preserve">Annex H </w:t>
      </w:r>
      <w:r w:rsidR="00044D06">
        <w:t>shares</w:t>
      </w:r>
      <w:r>
        <w:t xml:space="preserve"> </w:t>
      </w:r>
      <w:r w:rsidR="00411B0D">
        <w:t xml:space="preserve">details on the experiences across countries with </w:t>
      </w:r>
      <w:r w:rsidR="003C6684">
        <w:t>hand-over</w:t>
      </w:r>
      <w:r w:rsidR="00411B0D">
        <w:t xml:space="preserve"> of MSF programmes at project close</w:t>
      </w:r>
      <w:bookmarkStart w:id="224" w:name="_Toc500061926"/>
      <w:bookmarkStart w:id="225" w:name="_Toc500179378"/>
      <w:bookmarkStart w:id="226" w:name="_Toc476672643"/>
      <w:bookmarkStart w:id="227" w:name="_Toc476841243"/>
      <w:bookmarkStart w:id="228" w:name="_Toc477356735"/>
      <w:bookmarkStart w:id="229" w:name="_Toc479157477"/>
      <w:bookmarkStart w:id="230" w:name="_Toc480382914"/>
      <w:bookmarkStart w:id="231" w:name="_Toc480382963"/>
      <w:bookmarkStart w:id="232" w:name="_Toc480401069"/>
      <w:bookmarkStart w:id="233" w:name="_Toc480448396"/>
      <w:bookmarkStart w:id="234" w:name="_Toc480475250"/>
      <w:bookmarkStart w:id="235" w:name="_Toc480476406"/>
      <w:bookmarkStart w:id="236" w:name="_Toc480546082"/>
      <w:bookmarkStart w:id="237" w:name="_Toc480549669"/>
      <w:bookmarkStart w:id="238" w:name="_Toc480553063"/>
      <w:bookmarkStart w:id="239" w:name="_Toc497836026"/>
      <w:bookmarkStart w:id="240" w:name="_Toc498093547"/>
      <w:bookmarkStart w:id="241" w:name="_Toc498094643"/>
      <w:bookmarkStart w:id="242" w:name="_Toc499825740"/>
      <w:bookmarkStart w:id="243" w:name="_Toc499827484"/>
      <w:bookmarkStart w:id="244" w:name="_Toc500074977"/>
      <w:bookmarkStart w:id="245" w:name="_Toc500077843"/>
      <w:r>
        <w:t xml:space="preserve">; </w:t>
      </w:r>
    </w:p>
    <w:p w14:paraId="10229705" w14:textId="77777777" w:rsidR="00A45C81" w:rsidRPr="00A45C81" w:rsidRDefault="00022771" w:rsidP="00C60B13">
      <w:pPr>
        <w:pStyle w:val="CEPABullets"/>
        <w:rPr>
          <w:rFonts w:cs="Arial"/>
          <w:b/>
          <w:bCs/>
          <w:smallCaps/>
          <w:kern w:val="32"/>
          <w:sz w:val="28"/>
          <w:szCs w:val="28"/>
        </w:rPr>
      </w:pPr>
      <w:r>
        <w:t xml:space="preserve">Annex I </w:t>
      </w:r>
      <w:r w:rsidR="00BE57C3">
        <w:t>includes</w:t>
      </w:r>
      <w:r>
        <w:t xml:space="preserve"> the evaluation conclusions using the framework of the </w:t>
      </w:r>
      <w:r w:rsidR="00B55E9C">
        <w:t>Unitaid</w:t>
      </w:r>
      <w:r>
        <w:t xml:space="preserve"> 2017-21 Strategy KPIs</w:t>
      </w:r>
      <w:r w:rsidR="00A45C81">
        <w:t>; and</w:t>
      </w:r>
    </w:p>
    <w:p w14:paraId="33EBDCCE" w14:textId="18ABA791" w:rsidR="00A45C81" w:rsidRPr="00A45C81" w:rsidRDefault="00A45C81" w:rsidP="00A45C81">
      <w:pPr>
        <w:pStyle w:val="CEPABullets"/>
        <w:rPr>
          <w:rFonts w:cs="Arial"/>
          <w:b/>
          <w:bCs/>
          <w:smallCaps/>
          <w:kern w:val="32"/>
          <w:sz w:val="28"/>
          <w:szCs w:val="28"/>
        </w:rPr>
      </w:pPr>
      <w:r>
        <w:t xml:space="preserve">Annex J presents an analysis of the public health impact of the project. </w:t>
      </w:r>
    </w:p>
    <w:p w14:paraId="241A3FC6" w14:textId="77777777" w:rsidR="00A45C81" w:rsidRDefault="00A45C81" w:rsidP="00A45C81">
      <w:pPr>
        <w:pStyle w:val="CEPABullets"/>
        <w:numPr>
          <w:ilvl w:val="0"/>
          <w:numId w:val="0"/>
        </w:numPr>
        <w:ind w:left="720" w:hanging="360"/>
      </w:pPr>
    </w:p>
    <w:p w14:paraId="1E0D64CD" w14:textId="77777777" w:rsidR="00A45C81" w:rsidRDefault="00A45C81" w:rsidP="00A45C81">
      <w:pPr>
        <w:pStyle w:val="CEPABullets"/>
        <w:numPr>
          <w:ilvl w:val="0"/>
          <w:numId w:val="0"/>
        </w:numPr>
        <w:ind w:left="720" w:hanging="360"/>
      </w:pPr>
    </w:p>
    <w:p w14:paraId="0E4CE0FB" w14:textId="1A085124" w:rsidR="00411B0D" w:rsidRDefault="00411B0D" w:rsidP="00A45C81">
      <w:pPr>
        <w:pStyle w:val="CEPABullets"/>
        <w:numPr>
          <w:ilvl w:val="0"/>
          <w:numId w:val="0"/>
        </w:numPr>
        <w:ind w:left="720" w:hanging="360"/>
        <w:rPr>
          <w:rFonts w:cs="Arial"/>
          <w:b/>
          <w:bCs/>
          <w:smallCaps/>
          <w:kern w:val="32"/>
          <w:sz w:val="28"/>
          <w:szCs w:val="28"/>
        </w:rPr>
      </w:pPr>
      <w:r>
        <w:br w:type="page"/>
      </w:r>
    </w:p>
    <w:p w14:paraId="73D20140" w14:textId="479DDDA5" w:rsidR="001C3765" w:rsidRDefault="001C3765" w:rsidP="00330C5F">
      <w:pPr>
        <w:pStyle w:val="Heading1"/>
      </w:pPr>
      <w:bookmarkStart w:id="246" w:name="_Toc500445645"/>
      <w:bookmarkStart w:id="247" w:name="_Toc500503123"/>
      <w:bookmarkStart w:id="248" w:name="_Toc500508106"/>
      <w:bookmarkStart w:id="249" w:name="_Toc500512834"/>
      <w:bookmarkStart w:id="250" w:name="_Toc500517760"/>
      <w:bookmarkStart w:id="251" w:name="_Toc500519575"/>
      <w:bookmarkStart w:id="252" w:name="_Toc500524422"/>
      <w:bookmarkStart w:id="253" w:name="_Toc506417394"/>
      <w:bookmarkStart w:id="254" w:name="_Toc515359218"/>
      <w:r w:rsidRPr="00B943ED">
        <w:t>Project relevance</w:t>
      </w:r>
      <w:bookmarkEnd w:id="224"/>
      <w:bookmarkEnd w:id="225"/>
      <w:bookmarkEnd w:id="246"/>
      <w:bookmarkEnd w:id="247"/>
      <w:bookmarkEnd w:id="248"/>
      <w:bookmarkEnd w:id="249"/>
      <w:bookmarkEnd w:id="250"/>
      <w:bookmarkEnd w:id="251"/>
      <w:bookmarkEnd w:id="252"/>
      <w:bookmarkEnd w:id="253"/>
      <w:bookmarkEnd w:id="254"/>
    </w:p>
    <w:p w14:paraId="70E5E5B6" w14:textId="77777777" w:rsidR="00E12473" w:rsidRDefault="001C3765" w:rsidP="001C3765">
      <w:pPr>
        <w:pStyle w:val="CEPAReportText"/>
      </w:pPr>
      <w:r>
        <w:t xml:space="preserve">The starting point of the evaluation has been to assess project relevance, which we consider in terms of the extent to which the project has been aligned with </w:t>
      </w:r>
      <w:r w:rsidR="00B55E9C">
        <w:t>Unitaid</w:t>
      </w:r>
      <w:r>
        <w:t xml:space="preserve">’s strategy, mandate and diagnostics portfolio as well as the broader HIV context and international and national response to the epidemic. </w:t>
      </w:r>
    </w:p>
    <w:p w14:paraId="063D393D" w14:textId="3EAA633D" w:rsidR="001C3765" w:rsidRDefault="001C3765" w:rsidP="001C3765">
      <w:pPr>
        <w:pStyle w:val="CEPAReportText"/>
      </w:pPr>
      <w:r>
        <w:t xml:space="preserve">The evaluation question is as follows: </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1C3765" w:rsidRPr="00B943ED" w14:paraId="511F2FA2" w14:textId="77777777" w:rsidTr="001C3765">
        <w:trPr>
          <w:trHeight w:val="503"/>
          <w:tblHeader/>
        </w:trPr>
        <w:tc>
          <w:tcPr>
            <w:tcW w:w="5000" w:type="pct"/>
            <w:shd w:val="solid" w:color="4B86CD" w:fill="auto"/>
          </w:tcPr>
          <w:p w14:paraId="75C99327" w14:textId="7167D335" w:rsidR="001C3765" w:rsidRPr="00804124" w:rsidRDefault="001C3765" w:rsidP="00846486">
            <w:pPr>
              <w:pStyle w:val="CEPATabletext"/>
              <w:numPr>
                <w:ilvl w:val="0"/>
                <w:numId w:val="9"/>
              </w:numPr>
              <w:rPr>
                <w:b/>
                <w:color w:val="FFFFFF"/>
                <w:sz w:val="24"/>
              </w:rPr>
            </w:pPr>
            <w:r w:rsidRPr="00804124">
              <w:rPr>
                <w:b/>
                <w:color w:val="FFFFFF"/>
                <w:sz w:val="24"/>
              </w:rPr>
              <w:t xml:space="preserve">To what extent has the project been relevant and aligned with </w:t>
            </w:r>
            <w:r w:rsidR="00B55E9C">
              <w:rPr>
                <w:b/>
                <w:color w:val="FFFFFF"/>
                <w:sz w:val="24"/>
              </w:rPr>
              <w:t>Unitaid</w:t>
            </w:r>
            <w:r w:rsidRPr="00804124">
              <w:rPr>
                <w:b/>
                <w:color w:val="FFFFFF"/>
                <w:sz w:val="24"/>
              </w:rPr>
              <w:t xml:space="preserve">’s strategy and broader portfolio as well as global response to HIV? </w:t>
            </w:r>
          </w:p>
        </w:tc>
      </w:tr>
    </w:tbl>
    <w:p w14:paraId="4647744C" w14:textId="2CD1268F" w:rsidR="001C3765" w:rsidRDefault="001C3765" w:rsidP="001C3765">
      <w:pPr>
        <w:pStyle w:val="Heading2"/>
        <w:numPr>
          <w:ilvl w:val="1"/>
          <w:numId w:val="2"/>
        </w:numPr>
      </w:pPr>
      <w:bookmarkStart w:id="255" w:name="_Toc500061927"/>
      <w:bookmarkStart w:id="256" w:name="_Toc500179379"/>
      <w:bookmarkStart w:id="257" w:name="_Toc500445646"/>
      <w:bookmarkStart w:id="258" w:name="_Toc500503124"/>
      <w:bookmarkStart w:id="259" w:name="_Toc500508107"/>
      <w:bookmarkStart w:id="260" w:name="_Toc500512835"/>
      <w:bookmarkStart w:id="261" w:name="_Toc500517761"/>
      <w:bookmarkStart w:id="262" w:name="_Toc500519576"/>
      <w:bookmarkStart w:id="263" w:name="_Toc500524423"/>
      <w:bookmarkStart w:id="264" w:name="_Toc506417395"/>
      <w:bookmarkStart w:id="265" w:name="_Toc515359219"/>
      <w:r>
        <w:t xml:space="preserve">Alignment with </w:t>
      </w:r>
      <w:r w:rsidR="00B55E9C">
        <w:t>Unitaid</w:t>
      </w:r>
      <w:r>
        <w:t xml:space="preserve"> strategy and diagnostics portfolio</w:t>
      </w:r>
      <w:bookmarkEnd w:id="255"/>
      <w:bookmarkEnd w:id="256"/>
      <w:bookmarkEnd w:id="257"/>
      <w:bookmarkEnd w:id="258"/>
      <w:bookmarkEnd w:id="259"/>
      <w:bookmarkEnd w:id="260"/>
      <w:bookmarkEnd w:id="261"/>
      <w:bookmarkEnd w:id="262"/>
      <w:bookmarkEnd w:id="263"/>
      <w:bookmarkEnd w:id="264"/>
      <w:bookmarkEnd w:id="265"/>
    </w:p>
    <w:p w14:paraId="3E454FC4" w14:textId="743BF553" w:rsidR="001C3765" w:rsidRDefault="001C3765" w:rsidP="001C3765">
      <w:pPr>
        <w:pStyle w:val="Heading4"/>
      </w:pPr>
      <w:r>
        <w:t xml:space="preserve">Alignment with </w:t>
      </w:r>
      <w:r w:rsidR="00B55E9C">
        <w:t>Unitaid</w:t>
      </w:r>
      <w:r>
        <w:t xml:space="preserve"> strategy and mandate</w:t>
      </w:r>
      <w:r w:rsidR="00E85B9C">
        <w:rPr>
          <w:rStyle w:val="FootnoteReference"/>
        </w:rPr>
        <w:footnoteReference w:id="17"/>
      </w:r>
      <w:r>
        <w:t xml:space="preserve">  </w:t>
      </w:r>
    </w:p>
    <w:p w14:paraId="0411E8F9" w14:textId="31B6FB7F" w:rsidR="001C3765" w:rsidRDefault="00B55E9C" w:rsidP="001C3765">
      <w:pPr>
        <w:pStyle w:val="CEPAReportText"/>
      </w:pPr>
      <w:r>
        <w:t>Unitaid</w:t>
      </w:r>
      <w:r w:rsidR="001C3765">
        <w:t xml:space="preserve"> has had a </w:t>
      </w:r>
      <w:r w:rsidR="001C3765" w:rsidRPr="008A7BDD">
        <w:rPr>
          <w:b/>
        </w:rPr>
        <w:t>long</w:t>
      </w:r>
      <w:r w:rsidR="008F15A3">
        <w:rPr>
          <w:b/>
        </w:rPr>
        <w:t>-</w:t>
      </w:r>
      <w:r w:rsidR="001C3765" w:rsidRPr="008A7BDD">
        <w:rPr>
          <w:b/>
        </w:rPr>
        <w:t>standing commitment</w:t>
      </w:r>
      <w:r w:rsidR="001C3765">
        <w:t xml:space="preserve"> on HIV diagnostics and monitoring</w:t>
      </w:r>
      <w:r w:rsidR="009D3752">
        <w:t>,</w:t>
      </w:r>
      <w:r w:rsidR="001C3765">
        <w:t xml:space="preserve"> from 2008</w:t>
      </w:r>
      <w:r w:rsidR="009D3752">
        <w:t>,</w:t>
      </w:r>
      <w:r w:rsidR="001C3765">
        <w:t xml:space="preserve"> when discussions on </w:t>
      </w:r>
      <w:r w:rsidR="00E74C7A">
        <w:t>VL</w:t>
      </w:r>
      <w:r w:rsidR="001C3765">
        <w:t xml:space="preserve"> were</w:t>
      </w:r>
      <w:r w:rsidR="005B13B2">
        <w:t xml:space="preserve"> commencing at the global level. </w:t>
      </w:r>
      <w:r w:rsidR="001C3765">
        <w:t xml:space="preserve">As such, with the grant objective of improving clinical outcomes for PLHIV through improved diagnostics and monitoring, this project strongly emphasises </w:t>
      </w:r>
      <w:r>
        <w:t>Unitaid</w:t>
      </w:r>
      <w:r w:rsidR="001C3765">
        <w:t xml:space="preserve">’s long term </w:t>
      </w:r>
      <w:r w:rsidR="009D3752">
        <w:t>(</w:t>
      </w:r>
      <w:r w:rsidR="001C3765">
        <w:t>and continuing</w:t>
      </w:r>
      <w:r w:rsidR="009D3752">
        <w:t>)</w:t>
      </w:r>
      <w:r w:rsidR="001C3765">
        <w:t xml:space="preserve"> focus in the area. </w:t>
      </w:r>
    </w:p>
    <w:p w14:paraId="46B48562" w14:textId="1F18071F" w:rsidR="004C79CC" w:rsidRDefault="001C3765" w:rsidP="001C3765">
      <w:pPr>
        <w:pStyle w:val="CEPAReportText"/>
      </w:pPr>
      <w:r>
        <w:t xml:space="preserve">A review of the project goal and activities suggests close alignment with the overall framework, strategic objectives and </w:t>
      </w:r>
      <w:r w:rsidR="009D3752">
        <w:t xml:space="preserve">defined </w:t>
      </w:r>
      <w:r w:rsidR="00B55E9C">
        <w:t>Unitaid</w:t>
      </w:r>
      <w:r>
        <w:t xml:space="preserve"> role </w:t>
      </w:r>
      <w:r w:rsidR="009D3752">
        <w:t xml:space="preserve">along the commodity value chain, as </w:t>
      </w:r>
      <w:r>
        <w:t xml:space="preserve">set out in </w:t>
      </w:r>
      <w:r w:rsidR="00900271">
        <w:t>its</w:t>
      </w:r>
      <w:r w:rsidR="009463AC">
        <w:t xml:space="preserve"> </w:t>
      </w:r>
      <w:r w:rsidR="00C4146B" w:rsidRPr="008A7BDD">
        <w:rPr>
          <w:b/>
        </w:rPr>
        <w:t xml:space="preserve">2013-16 </w:t>
      </w:r>
      <w:r w:rsidR="009463AC" w:rsidRPr="008A7BDD">
        <w:rPr>
          <w:b/>
        </w:rPr>
        <w:t>Strategy</w:t>
      </w:r>
      <w:r w:rsidR="009463AC">
        <w:t>. In particular</w:t>
      </w:r>
      <w:r w:rsidR="008A7BDD">
        <w:t xml:space="preserve">, </w:t>
      </w:r>
      <w:r w:rsidR="00900271">
        <w:t xml:space="preserve">the </w:t>
      </w:r>
      <w:r w:rsidR="00C327F1">
        <w:t xml:space="preserve"> </w:t>
      </w:r>
      <w:r>
        <w:t xml:space="preserve">grant is highly relevant in terms of Strategic Objective 1 to </w:t>
      </w:r>
      <w:r w:rsidR="009463AC">
        <w:t>“</w:t>
      </w:r>
      <w:r>
        <w:t>increase access to simple, point-of-care diagnostics for HIV/TB</w:t>
      </w:r>
      <w:r w:rsidR="00E85B9C">
        <w:t>…</w:t>
      </w:r>
      <w:r w:rsidR="009463AC">
        <w:t>”</w:t>
      </w:r>
      <w:r>
        <w:t xml:space="preserve">, especially in terms of addressing the market barriers </w:t>
      </w:r>
      <w:r w:rsidR="002E5E61">
        <w:t xml:space="preserve">noted in the </w:t>
      </w:r>
      <w:r w:rsidR="002B3852">
        <w:t>s</w:t>
      </w:r>
      <w:r w:rsidR="002E5E61">
        <w:t xml:space="preserve">trategy </w:t>
      </w:r>
      <w:r w:rsidR="009463AC">
        <w:t>on</w:t>
      </w:r>
      <w:r>
        <w:t xml:space="preserve"> </w:t>
      </w:r>
      <w:r w:rsidR="00B61C4F">
        <w:t>the</w:t>
      </w:r>
      <w:r>
        <w:t xml:space="preserve"> </w:t>
      </w:r>
      <w:r w:rsidR="009463AC">
        <w:t>“</w:t>
      </w:r>
      <w:r>
        <w:t>acceptability/ adaptability</w:t>
      </w:r>
      <w:r w:rsidR="009463AC">
        <w:t>”</w:t>
      </w:r>
      <w:r>
        <w:t xml:space="preserve"> and </w:t>
      </w:r>
      <w:r w:rsidR="009463AC">
        <w:t>“</w:t>
      </w:r>
      <w:r>
        <w:t>delivery</w:t>
      </w:r>
      <w:r w:rsidR="009463AC">
        <w:t>”</w:t>
      </w:r>
      <w:r>
        <w:t xml:space="preserve"> of diagnostics.</w:t>
      </w:r>
      <w:r w:rsidR="006C415A">
        <w:rPr>
          <w:rStyle w:val="FootnoteReference"/>
        </w:rPr>
        <w:footnoteReference w:id="18"/>
      </w:r>
      <w:r w:rsidR="009D3752">
        <w:t xml:space="preserve"> We note that</w:t>
      </w:r>
      <w:r>
        <w:t xml:space="preserve"> </w:t>
      </w:r>
      <w:r w:rsidR="00B55E9C">
        <w:t>Unitaid</w:t>
      </w:r>
      <w:r>
        <w:t xml:space="preserve">’s </w:t>
      </w:r>
      <w:r w:rsidR="009D3752">
        <w:t>overall</w:t>
      </w:r>
      <w:r>
        <w:t xml:space="preserve"> aim </w:t>
      </w:r>
      <w:r w:rsidR="009D3752">
        <w:t xml:space="preserve">within this Strategic Objective is </w:t>
      </w:r>
      <w:r>
        <w:t xml:space="preserve">to increase CD4, </w:t>
      </w:r>
      <w:r w:rsidR="007B10C8">
        <w:t>VL</w:t>
      </w:r>
      <w:r>
        <w:t xml:space="preserve"> and EID coverage, which is the basis of this grant.</w:t>
      </w:r>
      <w:r w:rsidR="00900271">
        <w:rPr>
          <w:rStyle w:val="FootnoteReference"/>
        </w:rPr>
        <w:footnoteReference w:id="19"/>
      </w:r>
      <w:r>
        <w:t xml:space="preserve"> </w:t>
      </w:r>
      <w:r w:rsidR="00900271">
        <w:t xml:space="preserve">Further, the </w:t>
      </w:r>
      <w:r w:rsidR="00C327F1">
        <w:t xml:space="preserve">2013-16 </w:t>
      </w:r>
      <w:r w:rsidR="001D7008">
        <w:t xml:space="preserve">Strategy </w:t>
      </w:r>
      <w:r w:rsidR="001D7008" w:rsidRPr="00900271">
        <w:t xml:space="preserve">presents </w:t>
      </w:r>
      <w:r w:rsidR="00B55E9C" w:rsidRPr="00900271">
        <w:t>Unitaid</w:t>
      </w:r>
      <w:r w:rsidR="001D7008" w:rsidRPr="00900271">
        <w:t>’s role within the commodity value chain in terms of a “push” and “pull” role, serving</w:t>
      </w:r>
      <w:r w:rsidR="001D7008">
        <w:t xml:space="preserve"> as a “market catalyst”, “market creator” and “market fixer”</w:t>
      </w:r>
      <w:r w:rsidR="00900271">
        <w:t>; and w</w:t>
      </w:r>
      <w:r w:rsidR="001D7008">
        <w:t xml:space="preserve">hile </w:t>
      </w:r>
      <w:r w:rsidR="00900271">
        <w:t>Unitaid’s</w:t>
      </w:r>
      <w:r w:rsidR="001D7008">
        <w:t xml:space="preserve"> larger grants have focused on the market creator function, the current grant emphasises its market catalyst role, serving to demonstrate the feasibility of primarily </w:t>
      </w:r>
      <w:r w:rsidR="005F1950">
        <w:t>VL</w:t>
      </w:r>
      <w:r w:rsidR="001D7008">
        <w:t xml:space="preserve"> but also CD4 and EID testing.</w:t>
      </w:r>
      <w:r w:rsidR="00900271">
        <w:rPr>
          <w:rStyle w:val="FootnoteReference"/>
        </w:rPr>
        <w:footnoteReference w:id="20"/>
      </w:r>
      <w:r w:rsidR="001D7008">
        <w:t xml:space="preserve"> The operational research nature of the project, while not the core focus of </w:t>
      </w:r>
      <w:r w:rsidR="00B55E9C">
        <w:t>Unitaid</w:t>
      </w:r>
      <w:r w:rsidR="001D7008">
        <w:t xml:space="preserve"> funding</w:t>
      </w:r>
      <w:r w:rsidR="00900271">
        <w:t>,</w:t>
      </w:r>
      <w:r w:rsidR="001D7008">
        <w:t xml:space="preserve"> and representing </w:t>
      </w:r>
      <w:r w:rsidR="001D7008" w:rsidRPr="00C032C2">
        <w:t xml:space="preserve">one of the few </w:t>
      </w:r>
      <w:r w:rsidR="001D7008">
        <w:t>operational research</w:t>
      </w:r>
      <w:r w:rsidR="001D7008" w:rsidRPr="00C032C2">
        <w:t xml:space="preserve"> grants</w:t>
      </w:r>
      <w:r w:rsidR="001D7008">
        <w:t xml:space="preserve"> within </w:t>
      </w:r>
      <w:r w:rsidR="00B55E9C">
        <w:t>Unitaid</w:t>
      </w:r>
      <w:r w:rsidR="001D7008">
        <w:t xml:space="preserve">’s grant portfolio, aims to establish feasibility and create demand, and hence is very much in line with </w:t>
      </w:r>
      <w:r w:rsidR="00B55E9C">
        <w:t>Unitaid</w:t>
      </w:r>
      <w:r w:rsidR="001D7008">
        <w:t xml:space="preserve">’s overall </w:t>
      </w:r>
      <w:r w:rsidR="00900271">
        <w:t xml:space="preserve">market </w:t>
      </w:r>
      <w:r w:rsidR="001D7008">
        <w:t xml:space="preserve">mandate. </w:t>
      </w:r>
    </w:p>
    <w:p w14:paraId="31153316" w14:textId="47C77169" w:rsidR="00C4146B" w:rsidRDefault="001E1F39" w:rsidP="001C3765">
      <w:pPr>
        <w:pStyle w:val="CEPAReportText"/>
      </w:pPr>
      <w:r>
        <w:t xml:space="preserve">The </w:t>
      </w:r>
      <w:r w:rsidR="00AD4B77">
        <w:t xml:space="preserve">strong </w:t>
      </w:r>
      <w:r>
        <w:t xml:space="preserve">relevance and alignment of the project also holds with the new </w:t>
      </w:r>
      <w:r w:rsidRPr="008A7BDD">
        <w:rPr>
          <w:b/>
        </w:rPr>
        <w:t xml:space="preserve">2017-21 </w:t>
      </w:r>
      <w:r w:rsidR="00B55E9C">
        <w:rPr>
          <w:b/>
        </w:rPr>
        <w:t>Unitaid</w:t>
      </w:r>
      <w:r w:rsidRPr="008A7BDD">
        <w:rPr>
          <w:b/>
        </w:rPr>
        <w:t xml:space="preserve"> Strategy</w:t>
      </w:r>
      <w:r>
        <w:t xml:space="preserve">. However we note that in this new strategy, </w:t>
      </w:r>
      <w:r w:rsidR="00C4146B">
        <w:t>there is a larger focus on integrated approaches to hea</w:t>
      </w:r>
      <w:r w:rsidR="00AD4B77">
        <w:t>lth, which for example include “</w:t>
      </w:r>
      <w:r w:rsidR="00C4146B">
        <w:t xml:space="preserve">enabling access to a health product that addresses more than one disease or condition (e.g. polyvalent </w:t>
      </w:r>
      <w:r w:rsidR="009A70D8">
        <w:t xml:space="preserve">or multi-disease </w:t>
      </w:r>
      <w:r w:rsidR="00C4146B">
        <w:t>diagnostic platforms)</w:t>
      </w:r>
      <w:r w:rsidR="00AD4B77">
        <w:t>”</w:t>
      </w:r>
      <w:r w:rsidR="00C4146B">
        <w:t>.</w:t>
      </w:r>
      <w:r w:rsidR="00C4146B">
        <w:rPr>
          <w:rStyle w:val="FootnoteReference"/>
        </w:rPr>
        <w:footnoteReference w:id="21"/>
      </w:r>
      <w:r w:rsidR="00C4146B">
        <w:t xml:space="preserve"> As the platforms used within the MSF project were primarily single platforms (as polyvalent platforms were not as easily available at the time), and the project exclusively focused on HIV, its relevance is slightly less </w:t>
      </w:r>
      <w:r w:rsidR="00AD4B77">
        <w:t>in terms of the priorities of this new strategy</w:t>
      </w:r>
      <w:r w:rsidR="00C4146B">
        <w:t>.</w:t>
      </w:r>
      <w:r w:rsidR="00E85B9C">
        <w:rPr>
          <w:rStyle w:val="FootnoteReference"/>
        </w:rPr>
        <w:footnoteReference w:id="22"/>
      </w:r>
      <w:r w:rsidR="00C4146B">
        <w:t xml:space="preserve"> </w:t>
      </w:r>
    </w:p>
    <w:p w14:paraId="240659A1" w14:textId="4AEF5734" w:rsidR="001C3765" w:rsidRDefault="001C3765" w:rsidP="001C3765">
      <w:pPr>
        <w:pStyle w:val="Heading4"/>
      </w:pPr>
      <w:r>
        <w:t>Fit</w:t>
      </w:r>
      <w:r w:rsidDel="003B6318">
        <w:t xml:space="preserve"> with </w:t>
      </w:r>
      <w:r w:rsidR="00B55E9C">
        <w:t>Unitaid</w:t>
      </w:r>
      <w:r w:rsidDel="003B6318">
        <w:t xml:space="preserve">’s </w:t>
      </w:r>
      <w:r>
        <w:t xml:space="preserve">broader diagnostics </w:t>
      </w:r>
      <w:r w:rsidDel="003B6318">
        <w:t>portfolio</w:t>
      </w:r>
    </w:p>
    <w:p w14:paraId="181B5176" w14:textId="4573819E" w:rsidR="007961B2" w:rsidRDefault="001C3765" w:rsidP="007961B2">
      <w:pPr>
        <w:pStyle w:val="CEPAReportText"/>
      </w:pPr>
      <w:r>
        <w:t xml:space="preserve">While a </w:t>
      </w:r>
      <w:r w:rsidR="008A7BDD">
        <w:t xml:space="preserve">full review of the complementarity </w:t>
      </w:r>
      <w:r>
        <w:t xml:space="preserve">of the </w:t>
      </w:r>
      <w:r w:rsidR="00B55E9C">
        <w:t>Unitaid</w:t>
      </w:r>
      <w:r>
        <w:t xml:space="preserve"> </w:t>
      </w:r>
      <w:r w:rsidR="008A7BDD">
        <w:t xml:space="preserve">HIV </w:t>
      </w:r>
      <w:r>
        <w:t xml:space="preserve">diagnostics portfolio is beyond the scope of this evaluation, we provide some salient points by way of assessing the </w:t>
      </w:r>
      <w:r w:rsidR="004F56A2">
        <w:t xml:space="preserve">fit </w:t>
      </w:r>
      <w:r>
        <w:t xml:space="preserve">of the MSF grant with other </w:t>
      </w:r>
      <w:r w:rsidR="008A7BDD">
        <w:t xml:space="preserve">related </w:t>
      </w:r>
      <w:r>
        <w:t>diagnostics grants</w:t>
      </w:r>
      <w:r w:rsidR="009A70D8">
        <w:t>, including:</w:t>
      </w:r>
      <w:r w:rsidR="009A70D8">
        <w:rPr>
          <w:rStyle w:val="FootnoteReference"/>
        </w:rPr>
        <w:footnoteReference w:id="23"/>
      </w:r>
      <w:r w:rsidR="009A70D8">
        <w:t xml:space="preserve"> </w:t>
      </w:r>
    </w:p>
    <w:p w14:paraId="660778AC" w14:textId="096A70F7" w:rsidR="00E3299A" w:rsidRDefault="001C3765" w:rsidP="00C327F1">
      <w:pPr>
        <w:pStyle w:val="CEPABullets"/>
      </w:pPr>
      <w:r>
        <w:t xml:space="preserve">The </w:t>
      </w:r>
      <w:r w:rsidRPr="008A7BDD">
        <w:rPr>
          <w:b/>
        </w:rPr>
        <w:t>CHAI/UNICEF grant</w:t>
      </w:r>
      <w:r w:rsidR="009A70D8">
        <w:rPr>
          <w:b/>
        </w:rPr>
        <w:t>,</w:t>
      </w:r>
      <w:r>
        <w:t xml:space="preserve"> which is a much larger grant of </w:t>
      </w:r>
      <w:r w:rsidR="004F56A2">
        <w:t>US</w:t>
      </w:r>
      <w:r w:rsidR="009A70D8">
        <w:t xml:space="preserve">$149.3m and serves as a </w:t>
      </w:r>
      <w:r>
        <w:t xml:space="preserve">market </w:t>
      </w:r>
      <w:r w:rsidR="009A70D8">
        <w:t>creator</w:t>
      </w:r>
      <w:r>
        <w:t xml:space="preserve"> grant with proposed large procurement volumes and implications on market demand, supply and prices. As such, this grant is very different from the MSF project which is more about demonstration/ feasibility, and thereby complementary in nature.</w:t>
      </w:r>
      <w:r>
        <w:rPr>
          <w:rStyle w:val="FootnoteReference"/>
        </w:rPr>
        <w:footnoteReference w:id="24"/>
      </w:r>
      <w:r>
        <w:t xml:space="preserve"> </w:t>
      </w:r>
      <w:r w:rsidR="00E3299A">
        <w:t xml:space="preserve">In addition, </w:t>
      </w:r>
      <w:r w:rsidR="009A70D8">
        <w:t>we understand</w:t>
      </w:r>
      <w:r w:rsidR="00E3299A" w:rsidRPr="002D78DB">
        <w:t xml:space="preserve"> that the CHAI/UNICEF </w:t>
      </w:r>
      <w:r w:rsidR="00E3299A">
        <w:t xml:space="preserve">project </w:t>
      </w:r>
      <w:r w:rsidR="00985439">
        <w:t xml:space="preserve">had </w:t>
      </w:r>
      <w:r w:rsidR="009A70D8">
        <w:t>a</w:t>
      </w:r>
      <w:r w:rsidR="00985439">
        <w:t xml:space="preserve"> </w:t>
      </w:r>
      <w:r w:rsidR="00254615">
        <w:t xml:space="preserve">global market and </w:t>
      </w:r>
      <w:r w:rsidR="00E3299A" w:rsidRPr="002D78DB">
        <w:t xml:space="preserve">national </w:t>
      </w:r>
      <w:r w:rsidR="00985439">
        <w:t xml:space="preserve">policy-level </w:t>
      </w:r>
      <w:r w:rsidR="00E3299A" w:rsidRPr="002D78DB">
        <w:t>focus</w:t>
      </w:r>
      <w:r w:rsidR="00E3299A">
        <w:t>,</w:t>
      </w:r>
      <w:r w:rsidR="00E3299A" w:rsidRPr="002D78DB">
        <w:t xml:space="preserve"> whereas the MSF project</w:t>
      </w:r>
      <w:r w:rsidR="009A70D8">
        <w:t>,</w:t>
      </w:r>
      <w:r w:rsidR="00E3299A" w:rsidRPr="002D78DB">
        <w:t xml:space="preserve"> in most instances</w:t>
      </w:r>
      <w:r w:rsidR="009A70D8">
        <w:t>,</w:t>
      </w:r>
      <w:r w:rsidR="00E3299A" w:rsidRPr="002D78DB">
        <w:t xml:space="preserve"> focused on demonstrating lessons at </w:t>
      </w:r>
      <w:r w:rsidR="009A70D8">
        <w:t>the</w:t>
      </w:r>
      <w:r w:rsidR="00E3299A" w:rsidRPr="002D78DB">
        <w:t xml:space="preserve"> clinic/ district level.</w:t>
      </w:r>
    </w:p>
    <w:p w14:paraId="4B111E8C" w14:textId="3A0C1DC7" w:rsidR="00E3299A" w:rsidRDefault="001C3765" w:rsidP="00C327F1">
      <w:pPr>
        <w:pStyle w:val="CEPABullets"/>
      </w:pPr>
      <w:r>
        <w:t xml:space="preserve">Other related grants include the </w:t>
      </w:r>
      <w:r w:rsidRPr="008A7BDD">
        <w:rPr>
          <w:b/>
        </w:rPr>
        <w:t>OPP</w:t>
      </w:r>
      <w:r w:rsidR="006F0466" w:rsidRPr="008A7BDD">
        <w:rPr>
          <w:b/>
        </w:rPr>
        <w:t>-</w:t>
      </w:r>
      <w:r w:rsidRPr="008A7BDD">
        <w:rPr>
          <w:b/>
        </w:rPr>
        <w:t>ERA project</w:t>
      </w:r>
      <w:r w:rsidR="00B948F5">
        <w:t>,</w:t>
      </w:r>
      <w:r>
        <w:t xml:space="preserve"> testing open polyvalent platforms, the </w:t>
      </w:r>
      <w:r w:rsidRPr="008A7BDD">
        <w:rPr>
          <w:b/>
        </w:rPr>
        <w:t>EGPAF project</w:t>
      </w:r>
      <w:r>
        <w:t xml:space="preserve"> on EID testing</w:t>
      </w:r>
      <w:r w:rsidR="0008325B">
        <w:t>,</w:t>
      </w:r>
      <w:r>
        <w:t xml:space="preserve"> and the </w:t>
      </w:r>
      <w:r w:rsidR="00CE3F52" w:rsidRPr="00846486">
        <w:rPr>
          <w:b/>
        </w:rPr>
        <w:t>Diagnostics for</w:t>
      </w:r>
      <w:r w:rsidRPr="00846486">
        <w:rPr>
          <w:b/>
        </w:rPr>
        <w:t xml:space="preserve"> the </w:t>
      </w:r>
      <w:r w:rsidR="00CE3F52" w:rsidRPr="00846486">
        <w:rPr>
          <w:b/>
        </w:rPr>
        <w:t>Real World</w:t>
      </w:r>
      <w:r w:rsidRPr="00846486">
        <w:rPr>
          <w:b/>
        </w:rPr>
        <w:t xml:space="preserve"> </w:t>
      </w:r>
      <w:r w:rsidR="00CE3F52" w:rsidRPr="00846486">
        <w:rPr>
          <w:b/>
        </w:rPr>
        <w:t>(</w:t>
      </w:r>
      <w:r w:rsidRPr="00CE3F52">
        <w:rPr>
          <w:b/>
        </w:rPr>
        <w:t>DRW</w:t>
      </w:r>
      <w:r w:rsidR="00CE3F52" w:rsidRPr="00CE3F52">
        <w:rPr>
          <w:b/>
        </w:rPr>
        <w:t>)</w:t>
      </w:r>
      <w:r w:rsidRPr="008A7BDD">
        <w:rPr>
          <w:b/>
        </w:rPr>
        <w:t xml:space="preserve"> project</w:t>
      </w:r>
      <w:r>
        <w:t xml:space="preserve"> on the SAMBA technology. While the MSF grant has several areas of similarity with these grants (including common countries), </w:t>
      </w:r>
      <w:r w:rsidR="004F56A2">
        <w:t>their</w:t>
      </w:r>
      <w:r>
        <w:t xml:space="preserve"> focus is </w:t>
      </w:r>
      <w:r w:rsidR="008A7BDD">
        <w:t>on specific components</w:t>
      </w:r>
      <w:r>
        <w:t>, with the OPP</w:t>
      </w:r>
      <w:r w:rsidR="0008325B">
        <w:t>-</w:t>
      </w:r>
      <w:r>
        <w:t>ERA project focusing on the feasibility of multi</w:t>
      </w:r>
      <w:r w:rsidR="009A70D8">
        <w:t>-</w:t>
      </w:r>
      <w:r>
        <w:t xml:space="preserve">sourced platforms (which formed </w:t>
      </w:r>
      <w:r w:rsidR="008878F9">
        <w:t>a smaller</w:t>
      </w:r>
      <w:r>
        <w:t xml:space="preserve"> component of the MSF project</w:t>
      </w:r>
      <w:r w:rsidR="009A70D8">
        <w:t>, as noted above</w:t>
      </w:r>
      <w:r>
        <w:t xml:space="preserve">), the EGPAF project focusing on infants and children (where the MSF project did not end up focusing as much) and the DRW project </w:t>
      </w:r>
      <w:r w:rsidR="008A7BDD">
        <w:t xml:space="preserve">being a grant to support product development. </w:t>
      </w:r>
    </w:p>
    <w:p w14:paraId="2700CB53" w14:textId="77777777" w:rsidR="009A70D8" w:rsidRDefault="004F4DC9" w:rsidP="004F4DC9">
      <w:pPr>
        <w:pStyle w:val="CEPAReportText"/>
      </w:pPr>
      <w:r>
        <w:t>As such, there are some areas of overlap across the grants</w:t>
      </w:r>
      <w:r w:rsidR="00491AAE">
        <w:t>. H</w:t>
      </w:r>
      <w:r>
        <w:t xml:space="preserve">owever each </w:t>
      </w:r>
      <w:r w:rsidR="00491AAE">
        <w:t>has its</w:t>
      </w:r>
      <w:r>
        <w:t xml:space="preserve"> respective intended </w:t>
      </w:r>
      <w:r w:rsidR="00985439">
        <w:t xml:space="preserve">objective and </w:t>
      </w:r>
      <w:r>
        <w:t xml:space="preserve">area of focus, and thereby </w:t>
      </w:r>
      <w:r w:rsidR="00491AAE">
        <w:t xml:space="preserve">the portfolio </w:t>
      </w:r>
      <w:r>
        <w:t xml:space="preserve">can be viewed as </w:t>
      </w:r>
      <w:r w:rsidR="00985439">
        <w:t xml:space="preserve">largely </w:t>
      </w:r>
      <w:r>
        <w:t>complementary</w:t>
      </w:r>
      <w:r w:rsidR="009A70D8">
        <w:t xml:space="preserve">. </w:t>
      </w:r>
    </w:p>
    <w:p w14:paraId="243C1809" w14:textId="35AD8D85" w:rsidR="004F4DC9" w:rsidRDefault="004F4DC9" w:rsidP="004F4DC9">
      <w:pPr>
        <w:pStyle w:val="CEPAReportText"/>
      </w:pPr>
      <w:r>
        <w:t xml:space="preserve">Consultations indicated that the </w:t>
      </w:r>
      <w:r w:rsidRPr="00A25D78">
        <w:rPr>
          <w:b/>
        </w:rPr>
        <w:t xml:space="preserve">MSF </w:t>
      </w:r>
      <w:r w:rsidR="00FF2157">
        <w:rPr>
          <w:b/>
        </w:rPr>
        <w:t>project</w:t>
      </w:r>
      <w:r w:rsidR="00FF2157" w:rsidRPr="00A25D78">
        <w:rPr>
          <w:b/>
        </w:rPr>
        <w:t xml:space="preserve"> </w:t>
      </w:r>
      <w:r w:rsidRPr="00A25D78">
        <w:rPr>
          <w:b/>
        </w:rPr>
        <w:t xml:space="preserve">was a “pioneer </w:t>
      </w:r>
      <w:r w:rsidR="0014099B">
        <w:rPr>
          <w:b/>
        </w:rPr>
        <w:t xml:space="preserve">and trailblazer </w:t>
      </w:r>
      <w:r w:rsidRPr="00A25D78">
        <w:rPr>
          <w:b/>
        </w:rPr>
        <w:t>grant”</w:t>
      </w:r>
      <w:r>
        <w:t xml:space="preserve">, establishing the feasibility of </w:t>
      </w:r>
      <w:r w:rsidR="009A70D8">
        <w:t>VL</w:t>
      </w:r>
      <w:r>
        <w:t xml:space="preserve"> testing and kick-starting the process of emphasising </w:t>
      </w:r>
      <w:r w:rsidR="00491AAE">
        <w:t xml:space="preserve">routine </w:t>
      </w:r>
      <w:r w:rsidR="007B10C8">
        <w:t>VL</w:t>
      </w:r>
      <w:r w:rsidR="00491AAE">
        <w:t xml:space="preserve"> </w:t>
      </w:r>
      <w:r>
        <w:t xml:space="preserve">monitoring in countries, </w:t>
      </w:r>
      <w:r w:rsidR="009A70D8">
        <w:t>thereby serving as</w:t>
      </w:r>
      <w:r>
        <w:t xml:space="preserve"> </w:t>
      </w:r>
      <w:r w:rsidR="008A7BDD">
        <w:t xml:space="preserve">a </w:t>
      </w:r>
      <w:r>
        <w:t>starting point for the</w:t>
      </w:r>
      <w:r w:rsidR="009A70D8">
        <w:t xml:space="preserve"> </w:t>
      </w:r>
      <w:r>
        <w:t xml:space="preserve">other grants. </w:t>
      </w:r>
    </w:p>
    <w:p w14:paraId="6957AA4A" w14:textId="77777777" w:rsidR="00211211" w:rsidRDefault="00A25D78" w:rsidP="00A25D78">
      <w:pPr>
        <w:pStyle w:val="CEPAReportText"/>
      </w:pPr>
      <w:r>
        <w:t xml:space="preserve">A key challenge however has been in terms of </w:t>
      </w:r>
      <w:r w:rsidRPr="00A25D78">
        <w:rPr>
          <w:b/>
        </w:rPr>
        <w:t>coordination amongst grantees</w:t>
      </w:r>
      <w:r>
        <w:t xml:space="preserve">, which has been mostly ad hoc </w:t>
      </w:r>
      <w:r w:rsidR="00211211">
        <w:t>with room for improvement</w:t>
      </w:r>
      <w:r w:rsidR="001C41F1">
        <w:t>, as recognised by all stakeholders consulted included Unitaid, MSF and other partners</w:t>
      </w:r>
      <w:r>
        <w:t xml:space="preserve">. </w:t>
      </w:r>
      <w:r w:rsidR="00211211">
        <w:t xml:space="preserve">For example, there </w:t>
      </w:r>
      <w:r w:rsidR="001E3596">
        <w:t>are some references to MSF-CHAI coordination in the annual progress reports for the MSF grant (e.g. the 2013 report makes reference to monthly phone calls</w:t>
      </w:r>
      <w:r w:rsidR="00491AAE">
        <w:t xml:space="preserve"> </w:t>
      </w:r>
      <w:r w:rsidR="00FF2157">
        <w:t>between partners</w:t>
      </w:r>
      <w:r w:rsidR="00491AAE">
        <w:t xml:space="preserve"> as well as</w:t>
      </w:r>
      <w:r w:rsidR="001E3596">
        <w:t xml:space="preserve"> </w:t>
      </w:r>
      <w:r w:rsidR="00211211">
        <w:t xml:space="preserve">plans for </w:t>
      </w:r>
      <w:r w:rsidR="001E3596">
        <w:t>a common tender exercise for procurement of platforms which was later dropped)</w:t>
      </w:r>
      <w:r w:rsidR="00C327F1">
        <w:t>, but this does not appear to be systematic or long term</w:t>
      </w:r>
      <w:r w:rsidR="001E3596">
        <w:t>.</w:t>
      </w:r>
    </w:p>
    <w:p w14:paraId="0F4F1911" w14:textId="7A3514E7" w:rsidR="00C270B7" w:rsidRDefault="00A25D78" w:rsidP="00A25D78">
      <w:pPr>
        <w:pStyle w:val="CEPAReportText"/>
      </w:pPr>
      <w:r>
        <w:t>We understand</w:t>
      </w:r>
      <w:r w:rsidR="00C270B7">
        <w:t xml:space="preserve"> </w:t>
      </w:r>
      <w:r w:rsidR="001E3596">
        <w:t>that coordination</w:t>
      </w:r>
      <w:r w:rsidR="00C270B7">
        <w:t xml:space="preserve"> improved over the life of the project, with “synergy meetings” being organised by </w:t>
      </w:r>
      <w:r w:rsidR="00B55E9C">
        <w:t>Unitaid</w:t>
      </w:r>
      <w:r w:rsidR="00C270B7">
        <w:t xml:space="preserve"> </w:t>
      </w:r>
      <w:r w:rsidR="001E3596">
        <w:t xml:space="preserve">which brought together a number of stakeholders to discuss key issues in the diagnostics landscape (e.g. research gaps, WHO PQ related issues, programmatic discussions on </w:t>
      </w:r>
      <w:r>
        <w:t>VL</w:t>
      </w:r>
      <w:r w:rsidR="001E3596">
        <w:t xml:space="preserve"> scale-up and clinical considerations, EID next steps, integration of diagnostic technologies and cost-effectiveness, etc.)</w:t>
      </w:r>
      <w:r>
        <w:t>. However</w:t>
      </w:r>
      <w:r w:rsidR="00076CAB">
        <w:t>, this has largely been at the global level</w:t>
      </w:r>
      <w:r w:rsidR="00FA2A97">
        <w:t xml:space="preserve"> with only informal engagement outside of these meetings</w:t>
      </w:r>
      <w:r>
        <w:t xml:space="preserve">; and </w:t>
      </w:r>
      <w:r w:rsidR="00211211">
        <w:t xml:space="preserve">as discussed further in Section 3.3, </w:t>
      </w:r>
      <w:r>
        <w:t>co</w:t>
      </w:r>
      <w:r w:rsidR="00C270B7">
        <w:t xml:space="preserve">untry-level coordination between grantees </w:t>
      </w:r>
      <w:r>
        <w:t>has been</w:t>
      </w:r>
      <w:r w:rsidR="001C351E">
        <w:t xml:space="preserve"> driven</w:t>
      </w:r>
      <w:r w:rsidR="00BE2AAC">
        <w:t xml:space="preserve"> </w:t>
      </w:r>
      <w:r w:rsidR="00B64E86">
        <w:t xml:space="preserve">more </w:t>
      </w:r>
      <w:r w:rsidR="001C351E">
        <w:t xml:space="preserve">by </w:t>
      </w:r>
      <w:r w:rsidR="00B64E86">
        <w:t xml:space="preserve">individuals, </w:t>
      </w:r>
      <w:r w:rsidR="001C351E">
        <w:t xml:space="preserve">than at an </w:t>
      </w:r>
      <w:r w:rsidR="00AD0690">
        <w:t>organisati</w:t>
      </w:r>
      <w:r w:rsidR="001C351E">
        <w:t>on level</w:t>
      </w:r>
      <w:r w:rsidR="00C270B7">
        <w:t xml:space="preserve">. </w:t>
      </w:r>
      <w:r w:rsidR="001C41F1">
        <w:t xml:space="preserve">As such, the lack of </w:t>
      </w:r>
      <w:r w:rsidR="00211211">
        <w:t>good</w:t>
      </w:r>
      <w:r w:rsidR="001C41F1">
        <w:t xml:space="preserve"> coordination presents a missed opportunity across the grants. </w:t>
      </w:r>
    </w:p>
    <w:p w14:paraId="438C034E" w14:textId="6799C05B" w:rsidR="001C3765" w:rsidRPr="00F8198D" w:rsidRDefault="001C3765" w:rsidP="001C3765">
      <w:pPr>
        <w:pStyle w:val="Heading2"/>
        <w:numPr>
          <w:ilvl w:val="1"/>
          <w:numId w:val="2"/>
        </w:numPr>
      </w:pPr>
      <w:bookmarkStart w:id="266" w:name="_Toc500061928"/>
      <w:bookmarkStart w:id="267" w:name="_Toc500179380"/>
      <w:bookmarkStart w:id="268" w:name="_Toc500445647"/>
      <w:bookmarkStart w:id="269" w:name="_Toc500503125"/>
      <w:bookmarkStart w:id="270" w:name="_Toc500508108"/>
      <w:bookmarkStart w:id="271" w:name="_Toc500512836"/>
      <w:bookmarkStart w:id="272" w:name="_Toc500517762"/>
      <w:bookmarkStart w:id="273" w:name="_Toc500519577"/>
      <w:bookmarkStart w:id="274" w:name="_Toc500524424"/>
      <w:bookmarkStart w:id="275" w:name="_Toc506417396"/>
      <w:bookmarkStart w:id="276" w:name="_Toc515359220"/>
      <w:r>
        <w:t>Relevance in context of HIV needs and guidance</w:t>
      </w:r>
      <w:bookmarkEnd w:id="266"/>
      <w:bookmarkEnd w:id="267"/>
      <w:bookmarkEnd w:id="268"/>
      <w:bookmarkEnd w:id="269"/>
      <w:bookmarkEnd w:id="270"/>
      <w:bookmarkEnd w:id="271"/>
      <w:bookmarkEnd w:id="272"/>
      <w:bookmarkEnd w:id="273"/>
      <w:bookmarkEnd w:id="274"/>
      <w:bookmarkEnd w:id="275"/>
      <w:bookmarkEnd w:id="276"/>
      <w:r>
        <w:t xml:space="preserve"> </w:t>
      </w:r>
    </w:p>
    <w:p w14:paraId="3E342F46" w14:textId="69EBE734" w:rsidR="001C3765" w:rsidRDefault="003B72C9" w:rsidP="001C3765">
      <w:pPr>
        <w:pStyle w:val="CEPAReportText"/>
      </w:pPr>
      <w:r w:rsidRPr="00F309C2">
        <w:t>The project was highly relevant in relation to</w:t>
      </w:r>
      <w:r w:rsidRPr="003B72C9">
        <w:rPr>
          <w:b/>
        </w:rPr>
        <w:t xml:space="preserve"> supporting the </w:t>
      </w:r>
      <w:r w:rsidR="00F309C2">
        <w:rPr>
          <w:b/>
        </w:rPr>
        <w:t>needs of t</w:t>
      </w:r>
      <w:r w:rsidRPr="003B72C9">
        <w:rPr>
          <w:b/>
        </w:rPr>
        <w:t>he HIV epidemic.</w:t>
      </w:r>
      <w:r>
        <w:t xml:space="preserve"> </w:t>
      </w:r>
      <w:r w:rsidR="001C3765">
        <w:t xml:space="preserve">At the start of the project, CD4 and </w:t>
      </w:r>
      <w:r w:rsidR="00715352">
        <w:t>VL</w:t>
      </w:r>
      <w:r w:rsidR="001C3765">
        <w:t xml:space="preserve"> tes</w:t>
      </w:r>
      <w:r w:rsidR="004F4DC9">
        <w:t>ting were recommended to maximis</w:t>
      </w:r>
      <w:r w:rsidR="006A70A2">
        <w:t>e the benefits of ART</w:t>
      </w:r>
      <w:r w:rsidR="001C3765">
        <w:t xml:space="preserve"> and improv</w:t>
      </w:r>
      <w:r w:rsidR="00491AAE">
        <w:t>e</w:t>
      </w:r>
      <w:r w:rsidR="001C3765">
        <w:t xml:space="preserve"> transition from first- to second-line regimens</w:t>
      </w:r>
      <w:r>
        <w:t>. Whilst there were a number of factors accounting for the low switching rates, one of these was the unavailability of VL monitoring to inform treatment switching.</w:t>
      </w:r>
      <w:r w:rsidR="001C3765">
        <w:t xml:space="preserve"> Estimates in 2013</w:t>
      </w:r>
      <w:r w:rsidR="001C3765" w:rsidRPr="00E22487">
        <w:t xml:space="preserve"> </w:t>
      </w:r>
      <w:r w:rsidR="001C3765">
        <w:t>indicated that</w:t>
      </w:r>
      <w:r w:rsidR="001C3765" w:rsidRPr="00E22487">
        <w:t xml:space="preserve"> the proportion of existing demand that ha</w:t>
      </w:r>
      <w:r w:rsidR="001C3765">
        <w:t>d</w:t>
      </w:r>
      <w:r w:rsidR="001C3765" w:rsidRPr="00E22487">
        <w:t xml:space="preserve"> been met for CD4, </w:t>
      </w:r>
      <w:r w:rsidR="009D1915">
        <w:t>VL</w:t>
      </w:r>
      <w:r w:rsidR="001C3765" w:rsidRPr="00E22487">
        <w:t>, and EID</w:t>
      </w:r>
      <w:r w:rsidR="001C3765">
        <w:t xml:space="preserve"> </w:t>
      </w:r>
      <w:r w:rsidR="001C3765" w:rsidRPr="00E22487">
        <w:t xml:space="preserve">testing </w:t>
      </w:r>
      <w:r w:rsidR="001C3765">
        <w:t>wa</w:t>
      </w:r>
      <w:r w:rsidR="001C3765" w:rsidRPr="00E22487">
        <w:t>s only ~60%, ~25%, and ~26%, respectively”</w:t>
      </w:r>
      <w:r w:rsidR="001C3765">
        <w:t>.</w:t>
      </w:r>
      <w:r w:rsidR="001C3765">
        <w:rPr>
          <w:rStyle w:val="FootnoteReference"/>
        </w:rPr>
        <w:footnoteReference w:id="25"/>
      </w:r>
      <w:r w:rsidR="001C3765">
        <w:t xml:space="preserve"> Therefore the focus of this grant on </w:t>
      </w:r>
      <w:r w:rsidR="00211211">
        <w:t>these</w:t>
      </w:r>
      <w:r w:rsidR="001C3765">
        <w:t xml:space="preserve"> aspects was much needed. </w:t>
      </w:r>
    </w:p>
    <w:p w14:paraId="6B0B7DB7" w14:textId="6A0D5699" w:rsidR="0014099B" w:rsidRDefault="00A45C81" w:rsidP="0014099B">
      <w:pPr>
        <w:pStyle w:val="CEPAReportText"/>
      </w:pPr>
      <w:r>
        <w:t xml:space="preserve">As emphasised in our review, and highlighting by our consultees for the evaluation, the </w:t>
      </w:r>
      <w:r w:rsidR="003B72C9" w:rsidRPr="00F309C2">
        <w:t>project was also very relevant in relation to the</w:t>
      </w:r>
      <w:r w:rsidR="003B72C9">
        <w:rPr>
          <w:b/>
        </w:rPr>
        <w:t xml:space="preserve"> limited commitment/ funding and policy progression </w:t>
      </w:r>
      <w:r w:rsidR="003B72C9" w:rsidRPr="00F309C2">
        <w:t>on VL monitoring</w:t>
      </w:r>
      <w:r w:rsidR="00FF2157">
        <w:t xml:space="preserve"> at the start of the project</w:t>
      </w:r>
      <w:r w:rsidR="003B72C9">
        <w:rPr>
          <w:b/>
        </w:rPr>
        <w:t xml:space="preserve">. </w:t>
      </w:r>
      <w:r w:rsidR="008C3E8D">
        <w:t>Whilst ARV coverage varied between 35</w:t>
      </w:r>
      <w:r w:rsidR="006A70A2">
        <w:t>%-</w:t>
      </w:r>
      <w:r w:rsidR="008C3E8D">
        <w:t>85% in the project countries, none o</w:t>
      </w:r>
      <w:r w:rsidR="003B72C9">
        <w:t xml:space="preserve">f the target countries had government </w:t>
      </w:r>
      <w:r w:rsidR="008C3E8D">
        <w:t xml:space="preserve">or donor-sponsored access to routine VL monitoring </w:t>
      </w:r>
      <w:r w:rsidR="008C3E8D" w:rsidRPr="00F83D70">
        <w:t>except South Africa.</w:t>
      </w:r>
      <w:r w:rsidR="008C3E8D" w:rsidRPr="00F83D70">
        <w:rPr>
          <w:rStyle w:val="FootnoteReference"/>
        </w:rPr>
        <w:footnoteReference w:id="26"/>
      </w:r>
      <w:r w:rsidR="008C3E8D">
        <w:t xml:space="preserve"> </w:t>
      </w:r>
      <w:r w:rsidR="00222EF8">
        <w:t>A</w:t>
      </w:r>
      <w:r w:rsidR="008C3E8D" w:rsidRPr="006469FC">
        <w:t xml:space="preserve">t the time of grant initiation, the only funding for routine </w:t>
      </w:r>
      <w:r w:rsidR="00D7604F">
        <w:t>VL</w:t>
      </w:r>
      <w:r w:rsidR="008C3E8D" w:rsidRPr="006469FC">
        <w:t xml:space="preserve"> in the region (apart from South Africa) came from </w:t>
      </w:r>
      <w:r w:rsidR="00B55E9C">
        <w:t>Unitaid</w:t>
      </w:r>
      <w:r w:rsidR="008C3E8D" w:rsidRPr="006469FC">
        <w:t>.</w:t>
      </w:r>
      <w:r w:rsidR="008C3E8D">
        <w:t xml:space="preserve"> In terms of national guidelines, a number of countries recognised </w:t>
      </w:r>
      <w:r w:rsidR="009D1915">
        <w:t>VL</w:t>
      </w:r>
      <w:r w:rsidR="008C3E8D">
        <w:t xml:space="preserve"> monitoring but had low coverage, and did not have operational plans. </w:t>
      </w:r>
    </w:p>
    <w:p w14:paraId="59C5981D" w14:textId="2E9B9E5E" w:rsidR="001C3765" w:rsidRDefault="008C3E8D" w:rsidP="008C3E8D">
      <w:pPr>
        <w:pStyle w:val="CEPAReportText"/>
      </w:pPr>
      <w:r w:rsidRPr="00F309C2">
        <w:t xml:space="preserve">Further, the grant also </w:t>
      </w:r>
      <w:r w:rsidRPr="00221E4E">
        <w:rPr>
          <w:b/>
        </w:rPr>
        <w:t>evolved to remain relevant with</w:t>
      </w:r>
      <w:r w:rsidRPr="003B72C9">
        <w:rPr>
          <w:b/>
        </w:rPr>
        <w:t xml:space="preserve"> changing WHO guidelines and global goals.</w:t>
      </w:r>
      <w:r>
        <w:t xml:space="preserve"> </w:t>
      </w:r>
      <w:r w:rsidR="001C3765">
        <w:t xml:space="preserve">The change in the WHO ART guidelines to ‘treat all’ meant that there was </w:t>
      </w:r>
      <w:r w:rsidR="001C3765" w:rsidRPr="00D4716D">
        <w:t xml:space="preserve">less </w:t>
      </w:r>
      <w:r w:rsidR="001C3765">
        <w:t>need for</w:t>
      </w:r>
      <w:r w:rsidR="001C3765" w:rsidRPr="00D4716D">
        <w:t xml:space="preserve"> CD4 monitoring</w:t>
      </w:r>
      <w:r w:rsidR="001C3765">
        <w:t xml:space="preserve">, and with the introduction of the </w:t>
      </w:r>
      <w:r w:rsidR="001C3765" w:rsidRPr="00601FE0">
        <w:t>UNAIDS 90-90-90 targets</w:t>
      </w:r>
      <w:r w:rsidR="001C3765">
        <w:t xml:space="preserve"> in 2014 including </w:t>
      </w:r>
      <w:r w:rsidR="001C3765" w:rsidRPr="00601FE0">
        <w:t xml:space="preserve">90% of </w:t>
      </w:r>
      <w:r w:rsidR="001C3765">
        <w:t>people on ART</w:t>
      </w:r>
      <w:r w:rsidR="001C3765" w:rsidRPr="00601FE0">
        <w:t xml:space="preserve"> having viral suppression by 2020</w:t>
      </w:r>
      <w:r w:rsidR="001C3765">
        <w:t xml:space="preserve">, the importance of </w:t>
      </w:r>
      <w:r w:rsidR="001F048D">
        <w:t>VL</w:t>
      </w:r>
      <w:r w:rsidR="004F4DC9">
        <w:t xml:space="preserve"> </w:t>
      </w:r>
      <w:r w:rsidR="001C3765">
        <w:t>monitoring was further emphasised</w:t>
      </w:r>
      <w:r w:rsidR="001C3765" w:rsidRPr="00601FE0">
        <w:t>.</w:t>
      </w:r>
      <w:r w:rsidR="001C3765">
        <w:rPr>
          <w:rStyle w:val="FootnoteReference"/>
        </w:rPr>
        <w:footnoteReference w:id="27"/>
      </w:r>
      <w:r w:rsidR="001C3765">
        <w:t xml:space="preserve"> </w:t>
      </w:r>
      <w:r w:rsidR="00952303">
        <w:t>T</w:t>
      </w:r>
      <w:r w:rsidR="001C3765">
        <w:t xml:space="preserve">he project adapted to </w:t>
      </w:r>
      <w:r w:rsidR="00952303">
        <w:t xml:space="preserve">these changes to </w:t>
      </w:r>
      <w:r w:rsidR="001C3765">
        <w:t xml:space="preserve">place </w:t>
      </w:r>
      <w:r w:rsidR="001C3765" w:rsidRPr="00B66400">
        <w:t xml:space="preserve">less emphasis on CD4 monitoring and focus on </w:t>
      </w:r>
      <w:r w:rsidR="00493C04">
        <w:t>VL</w:t>
      </w:r>
      <w:r w:rsidR="004F4DC9">
        <w:t xml:space="preserve"> </w:t>
      </w:r>
      <w:r w:rsidR="001C3765" w:rsidRPr="00B66400">
        <w:t>in all project countries</w:t>
      </w:r>
      <w:r w:rsidR="001C3765">
        <w:t xml:space="preserve">, thereby emphasising its continued relevance. </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808080" w:themeFill="background1" w:themeFillShade="80"/>
        <w:tblLook w:val="04A0" w:firstRow="1" w:lastRow="0" w:firstColumn="1" w:lastColumn="0" w:noHBand="0" w:noVBand="1"/>
      </w:tblPr>
      <w:tblGrid>
        <w:gridCol w:w="9016"/>
      </w:tblGrid>
      <w:tr w:rsidR="001C3765" w:rsidRPr="00211211" w14:paraId="569A39DB" w14:textId="77777777" w:rsidTr="001C3765">
        <w:trPr>
          <w:trHeight w:val="400"/>
          <w:tblHeader/>
        </w:trPr>
        <w:tc>
          <w:tcPr>
            <w:tcW w:w="5000" w:type="pct"/>
            <w:shd w:val="clear" w:color="auto" w:fill="7EA8DC" w:themeFill="text1" w:themeFillTint="80"/>
          </w:tcPr>
          <w:p w14:paraId="4AB83C9E" w14:textId="77777777" w:rsidR="001C3765" w:rsidRPr="00211211" w:rsidRDefault="001C3765" w:rsidP="001C3765">
            <w:pPr>
              <w:pStyle w:val="CEPATabletext"/>
              <w:rPr>
                <w:b/>
                <w:color w:val="FFFFFF"/>
                <w:sz w:val="24"/>
              </w:rPr>
            </w:pPr>
            <w:r w:rsidRPr="00211211">
              <w:rPr>
                <w:b/>
                <w:color w:val="FFFFFF"/>
                <w:sz w:val="24"/>
              </w:rPr>
              <w:t>Summary findings:</w:t>
            </w:r>
          </w:p>
          <w:p w14:paraId="287600CB" w14:textId="77777777" w:rsidR="00A45C81" w:rsidRDefault="00211211" w:rsidP="00735ADB">
            <w:pPr>
              <w:pStyle w:val="CEPATabletext"/>
              <w:rPr>
                <w:color w:val="FFFFFF"/>
                <w:sz w:val="24"/>
              </w:rPr>
            </w:pPr>
            <w:r>
              <w:rPr>
                <w:color w:val="FFFFFF"/>
                <w:sz w:val="24"/>
              </w:rPr>
              <w:t>Our review confirms the strong relevance and need for the project</w:t>
            </w:r>
            <w:r w:rsidR="00A45C81">
              <w:rPr>
                <w:color w:val="FFFFFF"/>
                <w:sz w:val="24"/>
              </w:rPr>
              <w:t xml:space="preserve"> in the face of limited commitment, funding and policy progression on VL monitoring. </w:t>
            </w:r>
          </w:p>
          <w:p w14:paraId="36782119" w14:textId="60C68D48" w:rsidR="00735ADB" w:rsidRDefault="00A45C81" w:rsidP="00735ADB">
            <w:pPr>
              <w:pStyle w:val="CEPATabletext"/>
              <w:rPr>
                <w:color w:val="FFFFFF"/>
                <w:sz w:val="24"/>
              </w:rPr>
            </w:pPr>
            <w:r>
              <w:rPr>
                <w:color w:val="FFFFFF"/>
                <w:sz w:val="24"/>
              </w:rPr>
              <w:t xml:space="preserve">The project was well-aligned with </w:t>
            </w:r>
            <w:r w:rsidR="00211211">
              <w:rPr>
                <w:color w:val="FFFFFF"/>
                <w:sz w:val="24"/>
              </w:rPr>
              <w:t xml:space="preserve">Unitaid’s mandate and </w:t>
            </w:r>
            <w:r>
              <w:rPr>
                <w:color w:val="FFFFFF"/>
                <w:sz w:val="24"/>
              </w:rPr>
              <w:t>complemented i</w:t>
            </w:r>
            <w:r w:rsidR="00211211">
              <w:rPr>
                <w:color w:val="FFFFFF"/>
                <w:sz w:val="24"/>
              </w:rPr>
              <w:t xml:space="preserve">ts other </w:t>
            </w:r>
            <w:r w:rsidR="006D14F7">
              <w:rPr>
                <w:color w:val="FFFFFF"/>
                <w:sz w:val="24"/>
              </w:rPr>
              <w:t xml:space="preserve">investments in HIV diagnostics. </w:t>
            </w:r>
            <w:r>
              <w:rPr>
                <w:color w:val="FFFFFF"/>
                <w:sz w:val="24"/>
              </w:rPr>
              <w:t xml:space="preserve">Indeed, the project is viewed as a </w:t>
            </w:r>
            <w:r w:rsidR="00211211">
              <w:rPr>
                <w:color w:val="FFFFFF"/>
                <w:sz w:val="24"/>
              </w:rPr>
              <w:t>pioneer grant</w:t>
            </w:r>
            <w:r>
              <w:rPr>
                <w:color w:val="FFFFFF"/>
                <w:sz w:val="24"/>
              </w:rPr>
              <w:t>,</w:t>
            </w:r>
            <w:r w:rsidR="00211211">
              <w:rPr>
                <w:color w:val="FFFFFF"/>
                <w:sz w:val="24"/>
              </w:rPr>
              <w:t xml:space="preserve"> </w:t>
            </w:r>
            <w:r>
              <w:rPr>
                <w:color w:val="FFFFFF"/>
                <w:sz w:val="24"/>
              </w:rPr>
              <w:t xml:space="preserve">setting the ground for much of the work conducted in this area by other partners. </w:t>
            </w:r>
          </w:p>
          <w:p w14:paraId="6192C1F9" w14:textId="77777777" w:rsidR="001049D8" w:rsidRDefault="001F3AED" w:rsidP="006D14F7">
            <w:pPr>
              <w:pStyle w:val="CEPATabletext"/>
              <w:rPr>
                <w:color w:val="FFFFFF"/>
                <w:sz w:val="24"/>
              </w:rPr>
            </w:pPr>
            <w:r w:rsidRPr="00211211">
              <w:rPr>
                <w:color w:val="FFFFFF"/>
                <w:sz w:val="24"/>
              </w:rPr>
              <w:t>The relevance of the grant may have been enhanced through better coordination with other Unitaid grants</w:t>
            </w:r>
            <w:r w:rsidR="00A45C81">
              <w:rPr>
                <w:color w:val="FFFFFF"/>
                <w:sz w:val="24"/>
              </w:rPr>
              <w:t>, although this has improved over time mainly at the global-level</w:t>
            </w:r>
            <w:r w:rsidRPr="00211211">
              <w:rPr>
                <w:color w:val="FFFFFF"/>
                <w:sz w:val="24"/>
              </w:rPr>
              <w:t>.</w:t>
            </w:r>
            <w:r w:rsidR="00E85B9C" w:rsidRPr="00211211">
              <w:rPr>
                <w:color w:val="FFFFFF"/>
                <w:sz w:val="24"/>
              </w:rPr>
              <w:t xml:space="preserve"> </w:t>
            </w:r>
          </w:p>
          <w:p w14:paraId="18FA54F7" w14:textId="5628457F" w:rsidR="00250B23" w:rsidRPr="00211211" w:rsidRDefault="00735ADB" w:rsidP="006D14F7">
            <w:pPr>
              <w:pStyle w:val="CEPATabletext"/>
              <w:rPr>
                <w:b/>
                <w:color w:val="FFFFFF"/>
                <w:sz w:val="24"/>
              </w:rPr>
            </w:pPr>
            <w:r>
              <w:rPr>
                <w:color w:val="FFFFFF"/>
                <w:sz w:val="24"/>
              </w:rPr>
              <w:t xml:space="preserve">Also, in terms of its relevance looking forward, </w:t>
            </w:r>
            <w:r w:rsidR="006D14F7">
              <w:rPr>
                <w:color w:val="FFFFFF"/>
                <w:sz w:val="24"/>
              </w:rPr>
              <w:t xml:space="preserve">it is noted that this grant had focused on single-use platforms </w:t>
            </w:r>
            <w:r>
              <w:rPr>
                <w:color w:val="FFFFFF"/>
                <w:sz w:val="24"/>
              </w:rPr>
              <w:t>while there is greater availability and emphasis</w:t>
            </w:r>
            <w:r w:rsidR="00A45C81">
              <w:rPr>
                <w:color w:val="FFFFFF"/>
                <w:sz w:val="24"/>
              </w:rPr>
              <w:t xml:space="preserve"> today</w:t>
            </w:r>
            <w:r>
              <w:rPr>
                <w:color w:val="FFFFFF"/>
                <w:sz w:val="24"/>
              </w:rPr>
              <w:t xml:space="preserve"> on polyvalent platforms and i</w:t>
            </w:r>
            <w:r w:rsidR="006D14F7">
              <w:rPr>
                <w:color w:val="FFFFFF"/>
                <w:sz w:val="24"/>
              </w:rPr>
              <w:t>ntegrated approaches to health.</w:t>
            </w:r>
          </w:p>
        </w:tc>
      </w:tr>
    </w:tbl>
    <w:p w14:paraId="75AA7440" w14:textId="77777777" w:rsidR="001C3765" w:rsidRDefault="001C3765" w:rsidP="001C3765"/>
    <w:p w14:paraId="7351925E" w14:textId="77777777" w:rsidR="00E85B9C" w:rsidRDefault="00E85B9C">
      <w:pPr>
        <w:spacing w:after="160" w:line="259" w:lineRule="auto"/>
        <w:jc w:val="left"/>
        <w:rPr>
          <w:rFonts w:cs="Arial"/>
          <w:b/>
          <w:bCs/>
          <w:smallCaps/>
          <w:kern w:val="32"/>
          <w:sz w:val="28"/>
          <w:szCs w:val="28"/>
        </w:rPr>
      </w:pPr>
      <w:bookmarkStart w:id="277" w:name="_Toc497836027"/>
      <w:bookmarkStart w:id="278" w:name="_Toc498093548"/>
      <w:bookmarkStart w:id="279" w:name="_Toc498094644"/>
      <w:bookmarkStart w:id="280" w:name="_Toc499825743"/>
      <w:bookmarkStart w:id="281" w:name="_Toc499827487"/>
      <w:bookmarkStart w:id="282" w:name="_Toc500074981"/>
      <w:bookmarkStart w:id="283" w:name="_Toc500179381"/>
      <w:bookmarkStart w:id="284" w:name="_Toc500182460"/>
      <w:bookmarkStart w:id="285" w:name="_Toc500445648"/>
      <w:bookmarkStart w:id="286" w:name="_Toc500503126"/>
      <w:bookmarkStart w:id="287" w:name="_Toc500508109"/>
      <w:bookmarkStart w:id="288" w:name="_Toc500512837"/>
      <w:bookmarkStart w:id="289" w:name="_Toc500517763"/>
      <w:bookmarkStart w:id="290" w:name="_Toc500519578"/>
      <w:bookmarkStart w:id="291" w:name="_Toc500524425"/>
      <w:bookmarkStart w:id="292" w:name="_Toc499825745"/>
      <w:bookmarkStart w:id="293" w:name="_Toc499827489"/>
      <w:bookmarkStart w:id="294" w:name="_Toc500074983"/>
      <w:bookmarkStart w:id="295" w:name="_Toc500077849"/>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br w:type="page"/>
      </w:r>
    </w:p>
    <w:p w14:paraId="1EBE4EBB" w14:textId="6936B884" w:rsidR="00491A46" w:rsidRDefault="00491A46" w:rsidP="0014099B">
      <w:pPr>
        <w:pStyle w:val="Heading1"/>
      </w:pPr>
      <w:bookmarkStart w:id="296" w:name="_Toc506417397"/>
      <w:bookmarkStart w:id="297" w:name="_Toc515359221"/>
      <w:r>
        <w:t>Efficiency and effectiveness</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6"/>
      <w:bookmarkEnd w:id="297"/>
      <w:r>
        <w:t xml:space="preserve"> </w:t>
      </w:r>
    </w:p>
    <w:p w14:paraId="05DF219F" w14:textId="385A3A17" w:rsidR="00491A46" w:rsidRPr="005D78D0" w:rsidRDefault="00491A46" w:rsidP="00491A46">
      <w:pPr>
        <w:pStyle w:val="CEPAReportText"/>
      </w:pPr>
      <w:r>
        <w:t xml:space="preserve">The second dimension of the evaluation </w:t>
      </w:r>
      <w:r w:rsidR="00FB7613">
        <w:t>is on</w:t>
      </w:r>
      <w:r>
        <w:t xml:space="preserve"> efficiency and effectiveness. We consider these evaluation criteria from the lens of </w:t>
      </w:r>
      <w:r w:rsidR="002C7465">
        <w:t xml:space="preserve">overall </w:t>
      </w:r>
      <w:r>
        <w:t xml:space="preserve">project management on the one hand (e.g. whether planned budgets and timelines were adhered to) and in terms of the implementation of the project activities in country on the other (e.g. whether planned activities </w:t>
      </w:r>
      <w:r w:rsidR="00DA3C4C">
        <w:t xml:space="preserve">and targets </w:t>
      </w:r>
      <w:r>
        <w:t xml:space="preserve">were completed, what </w:t>
      </w:r>
      <w:r w:rsidR="00DA3C4C">
        <w:t>worked well and less with</w:t>
      </w:r>
      <w:r>
        <w:t xml:space="preserve"> the </w:t>
      </w:r>
      <w:r w:rsidR="00DA3C4C">
        <w:t>MSF country programmes</w:t>
      </w:r>
      <w:r>
        <w:t>, etc.). The former aspect is discussed in Section 3.1 and the latter in Sections 3.2 and 3.3.</w:t>
      </w:r>
    </w:p>
    <w:p w14:paraId="5C198164" w14:textId="0E86AA63" w:rsidR="00491A46" w:rsidRDefault="00A72586" w:rsidP="00491A46">
      <w:pPr>
        <w:pStyle w:val="Heading2"/>
        <w:numPr>
          <w:ilvl w:val="1"/>
          <w:numId w:val="2"/>
        </w:numPr>
      </w:pPr>
      <w:bookmarkStart w:id="298" w:name="_Toc499825744"/>
      <w:bookmarkStart w:id="299" w:name="_Toc499827488"/>
      <w:bookmarkStart w:id="300" w:name="_Toc500074982"/>
      <w:bookmarkStart w:id="301" w:name="_Toc500179382"/>
      <w:bookmarkStart w:id="302" w:name="_Toc500182461"/>
      <w:bookmarkStart w:id="303" w:name="_Toc500445649"/>
      <w:bookmarkStart w:id="304" w:name="_Toc500503127"/>
      <w:bookmarkStart w:id="305" w:name="_Toc500508110"/>
      <w:bookmarkStart w:id="306" w:name="_Toc500512838"/>
      <w:bookmarkStart w:id="307" w:name="_Toc500517764"/>
      <w:bookmarkStart w:id="308" w:name="_Toc500519579"/>
      <w:bookmarkStart w:id="309" w:name="_Toc500524426"/>
      <w:bookmarkStart w:id="310" w:name="_Toc506417398"/>
      <w:bookmarkStart w:id="311" w:name="_Toc515359222"/>
      <w:r>
        <w:t xml:space="preserve">Budget, timelines and project </w:t>
      </w:r>
      <w:r w:rsidR="00491A46">
        <w:t>management</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00491A46">
        <w:t xml:space="preserve">  </w:t>
      </w:r>
    </w:p>
    <w:p w14:paraId="5985AEBF" w14:textId="77777777" w:rsidR="00491A46" w:rsidRDefault="00491A46" w:rsidP="00491A46">
      <w:pPr>
        <w:pStyle w:val="CEPAReportText"/>
      </w:pPr>
      <w:r>
        <w:t xml:space="preserve">The evaluation question is as follows: </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491A46" w:rsidRPr="00B943ED" w14:paraId="6EEF9115" w14:textId="77777777" w:rsidTr="005B13B2">
        <w:trPr>
          <w:trHeight w:val="503"/>
          <w:tblHeader/>
        </w:trPr>
        <w:tc>
          <w:tcPr>
            <w:tcW w:w="5000" w:type="pct"/>
            <w:shd w:val="solid" w:color="4B86CD" w:fill="auto"/>
          </w:tcPr>
          <w:p w14:paraId="788DB1EC" w14:textId="77777777" w:rsidR="00491A46" w:rsidRPr="00573B0E" w:rsidRDefault="00491A46" w:rsidP="00846486">
            <w:pPr>
              <w:pStyle w:val="CEPATabletext"/>
              <w:numPr>
                <w:ilvl w:val="0"/>
                <w:numId w:val="9"/>
              </w:numPr>
              <w:rPr>
                <w:b/>
                <w:color w:val="FFFFFF"/>
                <w:sz w:val="24"/>
              </w:rPr>
            </w:pPr>
            <w:r w:rsidRPr="0009363B">
              <w:rPr>
                <w:b/>
                <w:color w:val="FFFFFF"/>
                <w:sz w:val="24"/>
              </w:rPr>
              <w:t>Was the project well-managed by the grantee, and delivered efficiently?</w:t>
            </w:r>
          </w:p>
        </w:tc>
      </w:tr>
    </w:tbl>
    <w:p w14:paraId="779DD7A0" w14:textId="0B5D9820" w:rsidR="00491A46" w:rsidRDefault="00491A46" w:rsidP="00491A46">
      <w:pPr>
        <w:pStyle w:val="CEPAReportText"/>
      </w:pPr>
      <w:r>
        <w:t>We consider budgets, timelines</w:t>
      </w:r>
      <w:r w:rsidR="002C7465">
        <w:t xml:space="preserve">, </w:t>
      </w:r>
      <w:r w:rsidR="00CF7FBC">
        <w:t xml:space="preserve">project management </w:t>
      </w:r>
      <w:r w:rsidR="009E3EEE">
        <w:t>structure</w:t>
      </w:r>
      <w:r w:rsidR="002C7465">
        <w:t>, as well as the a</w:t>
      </w:r>
      <w:r w:rsidR="00CF7FBC">
        <w:t xml:space="preserve">pproach to measuring results and managing risks. </w:t>
      </w:r>
    </w:p>
    <w:p w14:paraId="7D65FED8" w14:textId="77777777" w:rsidR="00491A46" w:rsidRDefault="00491A46" w:rsidP="00491A46">
      <w:pPr>
        <w:pStyle w:val="Heading3"/>
        <w:numPr>
          <w:ilvl w:val="2"/>
          <w:numId w:val="2"/>
        </w:numPr>
      </w:pPr>
      <w:r>
        <w:t>Budget management</w:t>
      </w:r>
    </w:p>
    <w:p w14:paraId="2CE6A416" w14:textId="6E45D28A" w:rsidR="008E278A" w:rsidRDefault="008E278A" w:rsidP="008E278A">
      <w:pPr>
        <w:pStyle w:val="CEPAReportText"/>
      </w:pPr>
      <w:r>
        <w:t>Of the total project budget of US$28.7m, US$27.3m (96%) had been spent by the end of the project in April 2017. Comparing total expenditure over the lifetime of the project with the original budget presented in the 2012 Project Plan, we note the following variances:</w:t>
      </w:r>
      <w:r>
        <w:rPr>
          <w:rStyle w:val="FootnoteReference"/>
        </w:rPr>
        <w:footnoteReference w:id="28"/>
      </w:r>
      <w:r w:rsidR="00DA3C4C" w:rsidRPr="00DA3C4C">
        <w:rPr>
          <w:vertAlign w:val="superscript"/>
        </w:rPr>
        <w:t>,</w:t>
      </w:r>
      <w:r w:rsidR="00DA3C4C">
        <w:rPr>
          <w:rStyle w:val="FootnoteReference"/>
        </w:rPr>
        <w:footnoteReference w:id="29"/>
      </w:r>
    </w:p>
    <w:p w14:paraId="7BE51892" w14:textId="65D4F5EA" w:rsidR="00491A46" w:rsidRPr="00323EAE" w:rsidRDefault="00491A46" w:rsidP="00491A46">
      <w:pPr>
        <w:pStyle w:val="CEPABullets"/>
      </w:pPr>
      <w:r w:rsidRPr="00323EAE">
        <w:t>Commodity expenditure was lower than planned, with 77% of the budget spent by the end of the project. US$</w:t>
      </w:r>
      <w:r w:rsidR="008E278A" w:rsidRPr="00323EAE">
        <w:t>17m</w:t>
      </w:r>
      <w:r w:rsidRPr="00323EAE">
        <w:t xml:space="preserve"> was spent compared with a budget of US$</w:t>
      </w:r>
      <w:r w:rsidR="008E278A" w:rsidRPr="00323EAE">
        <w:t>22m.</w:t>
      </w:r>
      <w:r>
        <w:t xml:space="preserve"> </w:t>
      </w:r>
    </w:p>
    <w:p w14:paraId="4B299FD5" w14:textId="0B2DA526" w:rsidR="006B1D55" w:rsidRDefault="006B1D55" w:rsidP="006B1D55">
      <w:pPr>
        <w:pStyle w:val="CEPABullets"/>
      </w:pPr>
      <w:r>
        <w:t xml:space="preserve">Staff expenditure was 1.2x greater than planned, with US$6.5m spent against US$5.4m budgeted. </w:t>
      </w:r>
    </w:p>
    <w:p w14:paraId="430572B2" w14:textId="2ADBAD42" w:rsidR="008E278A" w:rsidRDefault="008E278A" w:rsidP="008E278A">
      <w:pPr>
        <w:pStyle w:val="CEPABullets"/>
      </w:pPr>
      <w:r>
        <w:t>There was a large overspend with regard to operating expenditure, with a total spend over the lifetime of the project of US$3.6m, which is almost 2.8x larger than the original budget of US$1.3m.</w:t>
      </w:r>
      <w:r w:rsidR="007B091B">
        <w:rPr>
          <w:rStyle w:val="FootnoteReference"/>
        </w:rPr>
        <w:footnoteReference w:id="30"/>
      </w:r>
      <w:r>
        <w:t xml:space="preserve"> </w:t>
      </w:r>
    </w:p>
    <w:p w14:paraId="0B68D795" w14:textId="7509954C" w:rsidR="002C7465" w:rsidRDefault="002C7465" w:rsidP="00491A46">
      <w:pPr>
        <w:pStyle w:val="CEPAReportText"/>
      </w:pPr>
      <w:r>
        <w:t xml:space="preserve">We understand that these variances were on account of several changes that took place during the course of the project, including delayed pipeline product availability and commencement of country activities (discussed below). The overall longer timeframe for implementation with the project extension as well as addition of countries implied greater staff and operating expenditure. </w:t>
      </w:r>
    </w:p>
    <w:p w14:paraId="3A64A9F9" w14:textId="6B209C27" w:rsidR="00491A46" w:rsidRPr="00E41596" w:rsidRDefault="002C7465" w:rsidP="00491A46">
      <w:pPr>
        <w:pStyle w:val="CEPAReportText"/>
      </w:pPr>
      <w:r>
        <w:t>We n</w:t>
      </w:r>
      <w:r w:rsidR="00491A46">
        <w:t>ote that the budget updates and expenditure reports provided alongside annual progress reports have been difficult to follow, with some discrepancies across years</w:t>
      </w:r>
      <w:r w:rsidR="009C1697">
        <w:t xml:space="preserve"> due to</w:t>
      </w:r>
      <w:r w:rsidR="00491A46">
        <w:t xml:space="preserve"> the frequent need to change budgets with technology/ country updates</w:t>
      </w:r>
      <w:r w:rsidR="00B5354F">
        <w:t xml:space="preserve">. </w:t>
      </w:r>
      <w:r w:rsidR="009C1697">
        <w:t>We</w:t>
      </w:r>
      <w:r w:rsidR="00491A46">
        <w:t xml:space="preserve"> understand from </w:t>
      </w:r>
      <w:r w:rsidR="00B55E9C">
        <w:t>Unitaid</w:t>
      </w:r>
      <w:r w:rsidR="00491A46">
        <w:t xml:space="preserve"> that budget tracking and management for this grant was more of a challenge in comparison to </w:t>
      </w:r>
      <w:r w:rsidR="00491AAE">
        <w:t xml:space="preserve">its </w:t>
      </w:r>
      <w:r w:rsidR="00491A46">
        <w:t xml:space="preserve">other grants. This was because this grant represented a new approach for MSF funding (i.e. an external donor with </w:t>
      </w:r>
      <w:r w:rsidR="008E278A">
        <w:t>a</w:t>
      </w:r>
      <w:r w:rsidR="00491A46">
        <w:t xml:space="preserve"> earmarked project)</w:t>
      </w:r>
      <w:r w:rsidR="00491AAE">
        <w:t>,</w:t>
      </w:r>
      <w:r w:rsidR="00491A46">
        <w:t xml:space="preserve"> which required new budget management and reporting approaches by MSF</w:t>
      </w:r>
      <w:r w:rsidR="008E278A">
        <w:t>.</w:t>
      </w:r>
      <w:r w:rsidR="00491A46">
        <w:t xml:space="preserve"> There were also added complexities given the involvement of multiple MSF offices. </w:t>
      </w:r>
      <w:r w:rsidR="00812D27">
        <w:t>We also understand that the high turnover of the  Unitaid Finance Manager position also created challenges for continuity and consistency in requirements for MSF.</w:t>
      </w:r>
    </w:p>
    <w:p w14:paraId="42D975D2" w14:textId="2D30E060" w:rsidR="00491A46" w:rsidRDefault="00491A46" w:rsidP="00491A46">
      <w:pPr>
        <w:pStyle w:val="Heading3"/>
        <w:numPr>
          <w:ilvl w:val="2"/>
          <w:numId w:val="2"/>
        </w:numPr>
      </w:pPr>
      <w:r>
        <w:t>Planned versus actual timelines</w:t>
      </w:r>
    </w:p>
    <w:p w14:paraId="1A477D84" w14:textId="3A04FEC5" w:rsidR="00E94965" w:rsidRDefault="009C1697" w:rsidP="009C1697">
      <w:pPr>
        <w:pStyle w:val="CEPAReportText"/>
      </w:pPr>
      <w:r>
        <w:t xml:space="preserve">Many consultees noted that the project timeline was extremely ambitious, given the challenging nature of the grant and complex environments in which it was being delivered. The project further suffered from two key delays from plan: </w:t>
      </w:r>
      <w:r w:rsidR="00E94965">
        <w:t xml:space="preserve"> </w:t>
      </w:r>
    </w:p>
    <w:p w14:paraId="61A088B8" w14:textId="77777777" w:rsidR="00491A46" w:rsidRDefault="00491A46" w:rsidP="00491A46">
      <w:pPr>
        <w:pStyle w:val="Heading4"/>
      </w:pPr>
      <w:r>
        <w:t>Lengthy country MOU processes</w:t>
      </w:r>
    </w:p>
    <w:p w14:paraId="16C6668F" w14:textId="19EA920D" w:rsidR="008E278A" w:rsidRDefault="00491A46" w:rsidP="008E278A">
      <w:pPr>
        <w:pStyle w:val="CEPAReportText"/>
      </w:pPr>
      <w:r>
        <w:t xml:space="preserve">As a condition of the grant, </w:t>
      </w:r>
      <w:r w:rsidR="00B55E9C">
        <w:t>Unitaid</w:t>
      </w:r>
      <w:r>
        <w:t xml:space="preserve"> requested </w:t>
      </w:r>
      <w:r w:rsidR="009C1697">
        <w:t xml:space="preserve">MSF to have </w:t>
      </w:r>
      <w:r>
        <w:t xml:space="preserve">project-specific MOUs with the </w:t>
      </w:r>
      <w:r w:rsidR="003D7901">
        <w:t xml:space="preserve">government </w:t>
      </w:r>
      <w:r>
        <w:t>in all project countries.</w:t>
      </w:r>
      <w:r>
        <w:rPr>
          <w:rStyle w:val="FootnoteReference"/>
        </w:rPr>
        <w:footnoteReference w:id="31"/>
      </w:r>
      <w:r>
        <w:t xml:space="preserve"> </w:t>
      </w:r>
      <w:r w:rsidR="008E278A">
        <w:t xml:space="preserve">Table </w:t>
      </w:r>
      <w:r w:rsidR="006E2513">
        <w:t>3</w:t>
      </w:r>
      <w:r w:rsidR="008E278A" w:rsidDel="00732CD1">
        <w:t>.1</w:t>
      </w:r>
      <w:r w:rsidR="008E278A">
        <w:t xml:space="preserve"> </w:t>
      </w:r>
      <w:r w:rsidR="00A83EF8">
        <w:t>includes</w:t>
      </w:r>
      <w:r w:rsidR="008E278A">
        <w:t xml:space="preserve"> the date of signature of </w:t>
      </w:r>
      <w:r w:rsidR="009C1697">
        <w:t>the</w:t>
      </w:r>
      <w:r w:rsidR="008E278A">
        <w:t xml:space="preserve"> MOUs for the project countries, noting </w:t>
      </w:r>
      <w:r w:rsidR="003D7901">
        <w:t xml:space="preserve">project start in late 2012 (and </w:t>
      </w:r>
      <w:r w:rsidR="008E278A">
        <w:t xml:space="preserve">DRC and Kenya were added </w:t>
      </w:r>
      <w:r w:rsidR="003D7901">
        <w:t>in 2014 and 2015 respectively)</w:t>
      </w:r>
      <w:r w:rsidR="008E278A">
        <w:t>.</w:t>
      </w:r>
      <w:r w:rsidR="003D7901">
        <w:rPr>
          <w:rStyle w:val="FootnoteReference"/>
        </w:rPr>
        <w:footnoteReference w:id="32"/>
      </w:r>
      <w:r w:rsidR="009C1697">
        <w:t xml:space="preserve"> As is noted from the table, there were considerable delays in agreeing the MOUs, which had a knock-on impact on commencement of country activities.</w:t>
      </w:r>
    </w:p>
    <w:p w14:paraId="0FD8922D" w14:textId="748CAD43" w:rsidR="00491A46" w:rsidRPr="00DE5F58" w:rsidRDefault="00491A46" w:rsidP="00491A46">
      <w:pPr>
        <w:pStyle w:val="CEPADiagramLabel"/>
      </w:pPr>
      <w:r>
        <w:t xml:space="preserve">Table </w:t>
      </w:r>
      <w:r w:rsidR="006E2513">
        <w:t>3</w:t>
      </w:r>
      <w:r w:rsidR="00B5354F">
        <w:t>.1</w:t>
      </w:r>
      <w:r w:rsidR="008E278A">
        <w:t>:</w:t>
      </w:r>
      <w:r>
        <w:t xml:space="preserve"> Date of signature of project-specific MOUs with country governments</w:t>
      </w:r>
      <w:r>
        <w:rPr>
          <w:rStyle w:val="FootnoteReference"/>
        </w:rPr>
        <w:footnoteReference w:id="33"/>
      </w:r>
      <w:r>
        <w:t xml:space="preserve"> </w:t>
      </w:r>
    </w:p>
    <w:tbl>
      <w:tblPr>
        <w:tblStyle w:val="TableGrid"/>
        <w:tblW w:w="4955"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977"/>
        <w:gridCol w:w="2979"/>
        <w:gridCol w:w="2979"/>
      </w:tblGrid>
      <w:tr w:rsidR="00491A46" w14:paraId="6CC6F225" w14:textId="77777777" w:rsidTr="005B13B2">
        <w:trPr>
          <w:tblHeader/>
        </w:trPr>
        <w:tc>
          <w:tcPr>
            <w:tcW w:w="1666" w:type="pct"/>
            <w:shd w:val="solid" w:color="4B86CD" w:fill="auto"/>
          </w:tcPr>
          <w:p w14:paraId="026C9228" w14:textId="77777777" w:rsidR="00491A46" w:rsidRPr="00DE5F58" w:rsidRDefault="00491A46" w:rsidP="005B13B2">
            <w:pPr>
              <w:pStyle w:val="CEPATabletext"/>
              <w:rPr>
                <w:b/>
                <w:color w:val="FFFFFF"/>
              </w:rPr>
            </w:pPr>
            <w:r>
              <w:rPr>
                <w:b/>
                <w:color w:val="FFFFFF"/>
              </w:rPr>
              <w:t>Country</w:t>
            </w:r>
          </w:p>
        </w:tc>
        <w:tc>
          <w:tcPr>
            <w:tcW w:w="1667" w:type="pct"/>
            <w:shd w:val="solid" w:color="4B86CD" w:fill="auto"/>
          </w:tcPr>
          <w:p w14:paraId="1A2FB8CA" w14:textId="77777777" w:rsidR="00491A46" w:rsidRPr="00DE5F58" w:rsidRDefault="00491A46" w:rsidP="005B13B2">
            <w:pPr>
              <w:pStyle w:val="CEPATabletext"/>
              <w:rPr>
                <w:b/>
                <w:color w:val="FFFFFF"/>
              </w:rPr>
            </w:pPr>
            <w:r>
              <w:rPr>
                <w:b/>
                <w:color w:val="FFFFFF"/>
              </w:rPr>
              <w:t>MSF operational section</w:t>
            </w:r>
          </w:p>
        </w:tc>
        <w:tc>
          <w:tcPr>
            <w:tcW w:w="1667" w:type="pct"/>
            <w:shd w:val="solid" w:color="4B86CD" w:fill="auto"/>
          </w:tcPr>
          <w:p w14:paraId="33D0CFF6" w14:textId="77777777" w:rsidR="00491A46" w:rsidRPr="00DE5F58" w:rsidRDefault="00491A46" w:rsidP="005B13B2">
            <w:pPr>
              <w:pStyle w:val="CEPATabletext"/>
              <w:rPr>
                <w:b/>
                <w:color w:val="FFFFFF"/>
              </w:rPr>
            </w:pPr>
            <w:r>
              <w:rPr>
                <w:b/>
                <w:color w:val="FFFFFF"/>
              </w:rPr>
              <w:t>Date of signature</w:t>
            </w:r>
          </w:p>
        </w:tc>
      </w:tr>
      <w:tr w:rsidR="00491A46" w14:paraId="22A7AF03" w14:textId="77777777" w:rsidTr="005B13B2">
        <w:tc>
          <w:tcPr>
            <w:tcW w:w="1666" w:type="pct"/>
          </w:tcPr>
          <w:p w14:paraId="4457D2F3" w14:textId="77777777" w:rsidR="00491A46" w:rsidRDefault="00491A46" w:rsidP="005B13B2">
            <w:pPr>
              <w:pStyle w:val="CEPATabletext"/>
            </w:pPr>
            <w:r>
              <w:t>Lesotho</w:t>
            </w:r>
          </w:p>
        </w:tc>
        <w:tc>
          <w:tcPr>
            <w:tcW w:w="1667" w:type="pct"/>
          </w:tcPr>
          <w:p w14:paraId="78448439" w14:textId="77777777" w:rsidR="00491A46" w:rsidRDefault="00491A46" w:rsidP="005B13B2">
            <w:pPr>
              <w:pStyle w:val="CEPATabletext"/>
            </w:pPr>
            <w:r>
              <w:t>OCB</w:t>
            </w:r>
          </w:p>
        </w:tc>
        <w:tc>
          <w:tcPr>
            <w:tcW w:w="1667" w:type="pct"/>
          </w:tcPr>
          <w:p w14:paraId="779177A3" w14:textId="77777777" w:rsidR="00491A46" w:rsidRDefault="00491A46" w:rsidP="005B13B2">
            <w:pPr>
              <w:pStyle w:val="CEPATabletext"/>
            </w:pPr>
            <w:r>
              <w:t>30 April 2013</w:t>
            </w:r>
          </w:p>
        </w:tc>
      </w:tr>
      <w:tr w:rsidR="00491A46" w14:paraId="756E33CD" w14:textId="77777777" w:rsidTr="005B13B2">
        <w:tc>
          <w:tcPr>
            <w:tcW w:w="1666" w:type="pct"/>
          </w:tcPr>
          <w:p w14:paraId="15F1D73D" w14:textId="77777777" w:rsidR="00491A46" w:rsidRDefault="00491A46" w:rsidP="005B13B2">
            <w:pPr>
              <w:pStyle w:val="CEPATabletext"/>
            </w:pPr>
            <w:r>
              <w:t>Malawi</w:t>
            </w:r>
          </w:p>
        </w:tc>
        <w:tc>
          <w:tcPr>
            <w:tcW w:w="1667" w:type="pct"/>
          </w:tcPr>
          <w:p w14:paraId="79DB0E22" w14:textId="77777777" w:rsidR="00491A46" w:rsidRDefault="00491A46" w:rsidP="005B13B2">
            <w:pPr>
              <w:pStyle w:val="CEPATabletext"/>
            </w:pPr>
            <w:r>
              <w:t>OCB and OCP</w:t>
            </w:r>
          </w:p>
        </w:tc>
        <w:tc>
          <w:tcPr>
            <w:tcW w:w="1667" w:type="pct"/>
          </w:tcPr>
          <w:p w14:paraId="63BA196C" w14:textId="77777777" w:rsidR="00491A46" w:rsidRDefault="00491A46" w:rsidP="005B13B2">
            <w:pPr>
              <w:pStyle w:val="CEPATabletext"/>
            </w:pPr>
            <w:r>
              <w:t>13 February 2013</w:t>
            </w:r>
          </w:p>
        </w:tc>
      </w:tr>
      <w:tr w:rsidR="00491A46" w14:paraId="63687A37" w14:textId="77777777" w:rsidTr="005B13B2">
        <w:tc>
          <w:tcPr>
            <w:tcW w:w="1666" w:type="pct"/>
          </w:tcPr>
          <w:p w14:paraId="1FC62B12" w14:textId="77777777" w:rsidR="00491A46" w:rsidRDefault="00491A46" w:rsidP="005B13B2">
            <w:pPr>
              <w:pStyle w:val="CEPATabletext"/>
            </w:pPr>
            <w:r>
              <w:t>Mozambique</w:t>
            </w:r>
          </w:p>
        </w:tc>
        <w:tc>
          <w:tcPr>
            <w:tcW w:w="1667" w:type="pct"/>
          </w:tcPr>
          <w:p w14:paraId="106F2516" w14:textId="77777777" w:rsidR="00491A46" w:rsidRDefault="00491A46" w:rsidP="005B13B2">
            <w:pPr>
              <w:pStyle w:val="CEPATabletext"/>
            </w:pPr>
            <w:r>
              <w:t>OCB and OCG</w:t>
            </w:r>
          </w:p>
        </w:tc>
        <w:tc>
          <w:tcPr>
            <w:tcW w:w="1667" w:type="pct"/>
          </w:tcPr>
          <w:p w14:paraId="12EE84C7" w14:textId="77777777" w:rsidR="00491A46" w:rsidRDefault="00491A46" w:rsidP="005B13B2">
            <w:pPr>
              <w:pStyle w:val="CEPATabletext"/>
            </w:pPr>
            <w:r>
              <w:t>7 June 2013</w:t>
            </w:r>
          </w:p>
        </w:tc>
      </w:tr>
      <w:tr w:rsidR="00491A46" w14:paraId="0C8307BF" w14:textId="77777777" w:rsidTr="005B13B2">
        <w:tc>
          <w:tcPr>
            <w:tcW w:w="1666" w:type="pct"/>
          </w:tcPr>
          <w:p w14:paraId="3A258B77" w14:textId="77777777" w:rsidR="00491A46" w:rsidRDefault="00491A46" w:rsidP="005B13B2">
            <w:pPr>
              <w:pStyle w:val="CEPATabletext"/>
            </w:pPr>
            <w:r>
              <w:t>South Africa</w:t>
            </w:r>
          </w:p>
        </w:tc>
        <w:tc>
          <w:tcPr>
            <w:tcW w:w="1667" w:type="pct"/>
          </w:tcPr>
          <w:p w14:paraId="4D6414E5" w14:textId="77777777" w:rsidR="00491A46" w:rsidRDefault="00491A46" w:rsidP="005B13B2">
            <w:pPr>
              <w:pStyle w:val="CEPATabletext"/>
            </w:pPr>
            <w:r>
              <w:t>OCB</w:t>
            </w:r>
          </w:p>
        </w:tc>
        <w:tc>
          <w:tcPr>
            <w:tcW w:w="1667" w:type="pct"/>
          </w:tcPr>
          <w:p w14:paraId="138265AB" w14:textId="77777777" w:rsidR="00491A46" w:rsidRDefault="00491A46" w:rsidP="005B13B2">
            <w:pPr>
              <w:pStyle w:val="CEPATabletext"/>
            </w:pPr>
            <w:r>
              <w:t>3 March 2014</w:t>
            </w:r>
          </w:p>
        </w:tc>
      </w:tr>
      <w:tr w:rsidR="00491A46" w14:paraId="5C27F41B" w14:textId="77777777" w:rsidTr="005B13B2">
        <w:tc>
          <w:tcPr>
            <w:tcW w:w="1666" w:type="pct"/>
          </w:tcPr>
          <w:p w14:paraId="19CCEDD3" w14:textId="77777777" w:rsidR="00491A46" w:rsidRDefault="00491A46" w:rsidP="005B13B2">
            <w:pPr>
              <w:pStyle w:val="CEPATabletext"/>
            </w:pPr>
            <w:r>
              <w:t>Swaziland</w:t>
            </w:r>
          </w:p>
        </w:tc>
        <w:tc>
          <w:tcPr>
            <w:tcW w:w="1667" w:type="pct"/>
          </w:tcPr>
          <w:p w14:paraId="65CC7D69" w14:textId="77777777" w:rsidR="00491A46" w:rsidRDefault="00491A46" w:rsidP="005B13B2">
            <w:pPr>
              <w:pStyle w:val="CEPATabletext"/>
            </w:pPr>
            <w:r>
              <w:t>OCG</w:t>
            </w:r>
          </w:p>
        </w:tc>
        <w:tc>
          <w:tcPr>
            <w:tcW w:w="1667" w:type="pct"/>
          </w:tcPr>
          <w:p w14:paraId="70F4031A" w14:textId="77777777" w:rsidR="00491A46" w:rsidRDefault="00491A46" w:rsidP="005B13B2">
            <w:pPr>
              <w:pStyle w:val="CEPATabletext"/>
            </w:pPr>
            <w:r>
              <w:t>18 March 2013</w:t>
            </w:r>
          </w:p>
        </w:tc>
      </w:tr>
      <w:tr w:rsidR="00491A46" w14:paraId="7B0CC45B" w14:textId="77777777" w:rsidTr="005B13B2">
        <w:tc>
          <w:tcPr>
            <w:tcW w:w="1666" w:type="pct"/>
          </w:tcPr>
          <w:p w14:paraId="03CC8CCC" w14:textId="77777777" w:rsidR="00491A46" w:rsidRDefault="00491A46" w:rsidP="005B13B2">
            <w:pPr>
              <w:pStyle w:val="CEPATabletext"/>
            </w:pPr>
            <w:r>
              <w:t>Uganda</w:t>
            </w:r>
          </w:p>
        </w:tc>
        <w:tc>
          <w:tcPr>
            <w:tcW w:w="1667" w:type="pct"/>
          </w:tcPr>
          <w:p w14:paraId="5942318B" w14:textId="77777777" w:rsidR="00491A46" w:rsidRDefault="00491A46" w:rsidP="005B13B2">
            <w:pPr>
              <w:pStyle w:val="CEPATabletext"/>
            </w:pPr>
            <w:r>
              <w:t>OCP</w:t>
            </w:r>
          </w:p>
        </w:tc>
        <w:tc>
          <w:tcPr>
            <w:tcW w:w="1667" w:type="pct"/>
          </w:tcPr>
          <w:p w14:paraId="5B738D9E" w14:textId="77777777" w:rsidR="00491A46" w:rsidRDefault="00491A46" w:rsidP="005B13B2">
            <w:pPr>
              <w:pStyle w:val="CEPATabletext"/>
            </w:pPr>
            <w:r>
              <w:t>18 June 2013</w:t>
            </w:r>
          </w:p>
        </w:tc>
      </w:tr>
      <w:tr w:rsidR="00491A46" w14:paraId="700A7AAE" w14:textId="77777777" w:rsidTr="005B13B2">
        <w:tc>
          <w:tcPr>
            <w:tcW w:w="1666" w:type="pct"/>
          </w:tcPr>
          <w:p w14:paraId="33D5CEB8" w14:textId="77777777" w:rsidR="00491A46" w:rsidRDefault="00491A46" w:rsidP="005B13B2">
            <w:pPr>
              <w:pStyle w:val="CEPATabletext"/>
            </w:pPr>
            <w:r>
              <w:t>Zimbabwe</w:t>
            </w:r>
          </w:p>
        </w:tc>
        <w:tc>
          <w:tcPr>
            <w:tcW w:w="1667" w:type="pct"/>
          </w:tcPr>
          <w:p w14:paraId="2C6845D5" w14:textId="77777777" w:rsidR="00491A46" w:rsidRDefault="00491A46" w:rsidP="005B13B2">
            <w:pPr>
              <w:pStyle w:val="CEPATabletext"/>
            </w:pPr>
            <w:r>
              <w:t>OCB</w:t>
            </w:r>
          </w:p>
        </w:tc>
        <w:tc>
          <w:tcPr>
            <w:tcW w:w="1667" w:type="pct"/>
          </w:tcPr>
          <w:p w14:paraId="374BBFD1" w14:textId="77777777" w:rsidR="00491A46" w:rsidRDefault="00491A46" w:rsidP="005B13B2">
            <w:pPr>
              <w:pStyle w:val="CEPATabletext"/>
            </w:pPr>
            <w:r>
              <w:t>28 March 2013</w:t>
            </w:r>
          </w:p>
        </w:tc>
      </w:tr>
      <w:tr w:rsidR="009C1697" w14:paraId="6346C25F" w14:textId="77777777" w:rsidTr="005B13B2">
        <w:tc>
          <w:tcPr>
            <w:tcW w:w="1666" w:type="pct"/>
          </w:tcPr>
          <w:p w14:paraId="662C9319" w14:textId="776595BA" w:rsidR="009C1697" w:rsidRDefault="009C1697" w:rsidP="009C1697">
            <w:pPr>
              <w:pStyle w:val="CEPATabletext"/>
            </w:pPr>
            <w:r>
              <w:t>DRC</w:t>
            </w:r>
          </w:p>
        </w:tc>
        <w:tc>
          <w:tcPr>
            <w:tcW w:w="1667" w:type="pct"/>
          </w:tcPr>
          <w:p w14:paraId="57141FFD" w14:textId="0CF877F5" w:rsidR="009C1697" w:rsidRDefault="009C1697" w:rsidP="009C1697">
            <w:pPr>
              <w:pStyle w:val="CEPATabletext"/>
            </w:pPr>
            <w:r>
              <w:t>OCB</w:t>
            </w:r>
          </w:p>
        </w:tc>
        <w:tc>
          <w:tcPr>
            <w:tcW w:w="1667" w:type="pct"/>
          </w:tcPr>
          <w:p w14:paraId="3A1C1B0E" w14:textId="7C80E1DB" w:rsidR="009C1697" w:rsidRDefault="009C1697" w:rsidP="009C1697">
            <w:pPr>
              <w:pStyle w:val="CEPATabletext"/>
            </w:pPr>
            <w:r>
              <w:t>30 October 2014</w:t>
            </w:r>
          </w:p>
        </w:tc>
      </w:tr>
      <w:tr w:rsidR="009C1697" w14:paraId="247D5C47" w14:textId="77777777" w:rsidTr="005B13B2">
        <w:tc>
          <w:tcPr>
            <w:tcW w:w="1666" w:type="pct"/>
          </w:tcPr>
          <w:p w14:paraId="7CC822FC" w14:textId="59751A5A" w:rsidR="009C1697" w:rsidRDefault="009C1697" w:rsidP="009C1697">
            <w:pPr>
              <w:pStyle w:val="CEPATabletext"/>
            </w:pPr>
            <w:r>
              <w:t>Kenya</w:t>
            </w:r>
          </w:p>
        </w:tc>
        <w:tc>
          <w:tcPr>
            <w:tcW w:w="1667" w:type="pct"/>
          </w:tcPr>
          <w:p w14:paraId="24F31DE7" w14:textId="2DC11EB1" w:rsidR="009C1697" w:rsidRDefault="009C1697" w:rsidP="009C1697">
            <w:pPr>
              <w:pStyle w:val="CEPATabletext"/>
            </w:pPr>
            <w:r>
              <w:t>OCP</w:t>
            </w:r>
          </w:p>
        </w:tc>
        <w:tc>
          <w:tcPr>
            <w:tcW w:w="1667" w:type="pct"/>
          </w:tcPr>
          <w:p w14:paraId="1DCEE03E" w14:textId="2C83C590" w:rsidR="009C1697" w:rsidRPr="009C1697" w:rsidRDefault="009C1697" w:rsidP="009C1697">
            <w:pPr>
              <w:pStyle w:val="CEPATabletext"/>
            </w:pPr>
            <w:r w:rsidRPr="009C1697">
              <w:t>n/a</w:t>
            </w:r>
          </w:p>
        </w:tc>
      </w:tr>
    </w:tbl>
    <w:p w14:paraId="7871E115" w14:textId="7E87AD13" w:rsidR="00491A46" w:rsidRDefault="00491A46" w:rsidP="00491A46">
      <w:pPr>
        <w:pStyle w:val="CEPAReportText"/>
      </w:pPr>
      <w:r>
        <w:t xml:space="preserve">We note that these MOUs may not have been necessary given that MSF </w:t>
      </w:r>
      <w:r w:rsidRPr="0040549F">
        <w:t>had MOUs with governments for their HIV cohort programmes.</w:t>
      </w:r>
      <w:r>
        <w:t xml:space="preserve"> In light of this, and the recent update to </w:t>
      </w:r>
      <w:r w:rsidR="00B55E9C">
        <w:t>Unitaid</w:t>
      </w:r>
      <w:r>
        <w:t xml:space="preserve"> policy on not requiring country-specific MOUs</w:t>
      </w:r>
      <w:r w:rsidR="00DD664B">
        <w:t xml:space="preserve"> for a project</w:t>
      </w:r>
      <w:r>
        <w:t xml:space="preserve">, </w:t>
      </w:r>
      <w:r w:rsidR="009C1697">
        <w:t>these delays may have been avoidable</w:t>
      </w:r>
      <w:r>
        <w:t xml:space="preserve">. </w:t>
      </w:r>
    </w:p>
    <w:p w14:paraId="43D4D20C" w14:textId="55860496" w:rsidR="00491A46" w:rsidRDefault="00491A46" w:rsidP="00491A46">
      <w:pPr>
        <w:pStyle w:val="Heading4"/>
      </w:pPr>
      <w:r>
        <w:t xml:space="preserve">Delays in </w:t>
      </w:r>
      <w:r w:rsidR="00CF5B38">
        <w:t xml:space="preserve">diagnostic </w:t>
      </w:r>
      <w:r>
        <w:t xml:space="preserve">technologies </w:t>
      </w:r>
    </w:p>
    <w:p w14:paraId="30DF7E59" w14:textId="78F137AD" w:rsidR="008E278A" w:rsidRDefault="00491A46" w:rsidP="008E278A">
      <w:pPr>
        <w:pStyle w:val="CEPAReportText"/>
      </w:pPr>
      <w:r>
        <w:t xml:space="preserve">The project was significantly affected by delays in the availability of </w:t>
      </w:r>
      <w:r w:rsidR="009C1697">
        <w:t xml:space="preserve">pipeline </w:t>
      </w:r>
      <w:r>
        <w:t xml:space="preserve">diagnostic technologies. </w:t>
      </w:r>
      <w:r w:rsidR="008E278A">
        <w:t xml:space="preserve">Table </w:t>
      </w:r>
      <w:r w:rsidR="006E2513">
        <w:t>3</w:t>
      </w:r>
      <w:r w:rsidR="00B5354F">
        <w:t>.2</w:t>
      </w:r>
      <w:r w:rsidR="008E278A">
        <w:t xml:space="preserve"> below </w:t>
      </w:r>
      <w:r w:rsidR="00A83EF8">
        <w:t>lists</w:t>
      </w:r>
      <w:r w:rsidR="008E278A">
        <w:t xml:space="preserve"> the years in which the diagnostic technologies employed in the project became available for use in the project. </w:t>
      </w:r>
    </w:p>
    <w:p w14:paraId="6EF2AC85" w14:textId="77FBCA19" w:rsidR="00491A46" w:rsidRPr="00AD7991" w:rsidRDefault="008E278A" w:rsidP="00491A46">
      <w:pPr>
        <w:pStyle w:val="CEPADiagramLabel"/>
      </w:pPr>
      <w:r>
        <w:t>Table</w:t>
      </w:r>
      <w:r w:rsidDel="00B26C01">
        <w:t xml:space="preserve"> </w:t>
      </w:r>
      <w:r w:rsidR="006E2513">
        <w:t>3</w:t>
      </w:r>
      <w:r w:rsidR="00B5354F">
        <w:t>.2</w:t>
      </w:r>
      <w:r>
        <w:t>:</w:t>
      </w:r>
      <w:r w:rsidR="00491A46">
        <w:t xml:space="preserve"> Availability of </w:t>
      </w:r>
      <w:r w:rsidR="007C297F">
        <w:t>d</w:t>
      </w:r>
      <w:r w:rsidR="00491A46">
        <w:t xml:space="preserve">iagnostic </w:t>
      </w:r>
      <w:r w:rsidR="007C297F">
        <w:t>p</w:t>
      </w:r>
      <w:r w:rsidR="00491A46">
        <w:t>latforms</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86"/>
        <w:gridCol w:w="1388"/>
        <w:gridCol w:w="1892"/>
        <w:gridCol w:w="1441"/>
        <w:gridCol w:w="2809"/>
      </w:tblGrid>
      <w:tr w:rsidR="0003236B" w14:paraId="24AD92B3" w14:textId="77777777" w:rsidTr="0003236B">
        <w:trPr>
          <w:tblHeader/>
        </w:trPr>
        <w:tc>
          <w:tcPr>
            <w:tcW w:w="824" w:type="pct"/>
            <w:shd w:val="solid" w:color="4B86CD" w:fill="auto"/>
          </w:tcPr>
          <w:p w14:paraId="3839A787" w14:textId="77777777" w:rsidR="008E278A" w:rsidRPr="00AD7991" w:rsidRDefault="008E278A" w:rsidP="008E278A">
            <w:pPr>
              <w:pStyle w:val="CEPATabletext"/>
              <w:rPr>
                <w:b/>
                <w:color w:val="FFFFFF"/>
              </w:rPr>
            </w:pPr>
            <w:r>
              <w:rPr>
                <w:b/>
                <w:color w:val="FFFFFF"/>
              </w:rPr>
              <w:t>Manufacturer</w:t>
            </w:r>
          </w:p>
        </w:tc>
        <w:tc>
          <w:tcPr>
            <w:tcW w:w="770" w:type="pct"/>
            <w:shd w:val="solid" w:color="4B86CD" w:fill="auto"/>
          </w:tcPr>
          <w:p w14:paraId="16DCBB50" w14:textId="77777777" w:rsidR="008E278A" w:rsidRPr="00AD7991" w:rsidRDefault="008E278A" w:rsidP="008E278A">
            <w:pPr>
              <w:pStyle w:val="CEPATabletext"/>
              <w:rPr>
                <w:b/>
                <w:color w:val="FFFFFF"/>
              </w:rPr>
            </w:pPr>
            <w:r>
              <w:rPr>
                <w:b/>
                <w:color w:val="FFFFFF"/>
              </w:rPr>
              <w:t>Device</w:t>
            </w:r>
          </w:p>
        </w:tc>
        <w:tc>
          <w:tcPr>
            <w:tcW w:w="1049" w:type="pct"/>
            <w:shd w:val="solid" w:color="4B86CD" w:fill="auto"/>
          </w:tcPr>
          <w:p w14:paraId="2D0ABAAA" w14:textId="35AA79B9" w:rsidR="008E278A" w:rsidRDefault="008E278A" w:rsidP="008E278A">
            <w:pPr>
              <w:pStyle w:val="CEPATabletext"/>
              <w:rPr>
                <w:b/>
                <w:color w:val="FFFFFF"/>
              </w:rPr>
            </w:pPr>
            <w:r>
              <w:rPr>
                <w:b/>
                <w:color w:val="FFFFFF"/>
              </w:rPr>
              <w:t>POC or Lab</w:t>
            </w:r>
            <w:r w:rsidR="00B5354F">
              <w:rPr>
                <w:b/>
                <w:color w:val="FFFFFF"/>
              </w:rPr>
              <w:t>-based</w:t>
            </w:r>
          </w:p>
        </w:tc>
        <w:tc>
          <w:tcPr>
            <w:tcW w:w="799" w:type="pct"/>
            <w:shd w:val="solid" w:color="4B86CD" w:fill="auto"/>
          </w:tcPr>
          <w:p w14:paraId="0FA7D3FE" w14:textId="77777777" w:rsidR="008E278A" w:rsidRDefault="008E278A" w:rsidP="008E278A">
            <w:pPr>
              <w:pStyle w:val="CEPATabletext"/>
              <w:rPr>
                <w:b/>
                <w:color w:val="FFFFFF"/>
              </w:rPr>
            </w:pPr>
            <w:r>
              <w:rPr>
                <w:b/>
                <w:color w:val="FFFFFF"/>
              </w:rPr>
              <w:t>Type</w:t>
            </w:r>
          </w:p>
        </w:tc>
        <w:tc>
          <w:tcPr>
            <w:tcW w:w="1559" w:type="pct"/>
            <w:shd w:val="solid" w:color="4B86CD" w:fill="auto"/>
          </w:tcPr>
          <w:p w14:paraId="347C6EA5" w14:textId="6BA13AC7" w:rsidR="008E278A" w:rsidRPr="00AD7991" w:rsidRDefault="008E278A" w:rsidP="008E278A">
            <w:pPr>
              <w:pStyle w:val="CEPATabletext"/>
              <w:rPr>
                <w:b/>
                <w:color w:val="FFFFFF"/>
              </w:rPr>
            </w:pPr>
            <w:r>
              <w:rPr>
                <w:b/>
                <w:color w:val="FFFFFF"/>
              </w:rPr>
              <w:t xml:space="preserve">Year </w:t>
            </w:r>
            <w:r w:rsidR="007A60EC">
              <w:rPr>
                <w:b/>
                <w:color w:val="FFFFFF"/>
              </w:rPr>
              <w:t>first</w:t>
            </w:r>
            <w:r w:rsidR="0093795A">
              <w:rPr>
                <w:b/>
                <w:color w:val="FFFFFF"/>
              </w:rPr>
              <w:t xml:space="preserve"> use</w:t>
            </w:r>
            <w:r w:rsidR="007A60EC">
              <w:rPr>
                <w:b/>
                <w:color w:val="FFFFFF"/>
              </w:rPr>
              <w:t>d</w:t>
            </w:r>
            <w:r w:rsidR="0093795A">
              <w:rPr>
                <w:b/>
                <w:color w:val="FFFFFF"/>
              </w:rPr>
              <w:t xml:space="preserve"> in </w:t>
            </w:r>
            <w:r w:rsidR="007A60EC">
              <w:rPr>
                <w:b/>
                <w:color w:val="FFFFFF"/>
              </w:rPr>
              <w:t>project</w:t>
            </w:r>
            <w:r w:rsidR="00086D3D">
              <w:rPr>
                <w:rStyle w:val="FootnoteReference"/>
                <w:b/>
                <w:color w:val="FFFFFF"/>
              </w:rPr>
              <w:footnoteReference w:id="34"/>
            </w:r>
          </w:p>
        </w:tc>
      </w:tr>
      <w:tr w:rsidR="0003236B" w14:paraId="6C454F28" w14:textId="77777777" w:rsidTr="0003236B">
        <w:tc>
          <w:tcPr>
            <w:tcW w:w="824" w:type="pct"/>
          </w:tcPr>
          <w:p w14:paraId="31E19FF1" w14:textId="4AD8932A" w:rsidR="008E278A" w:rsidRDefault="008E278A" w:rsidP="008E278A">
            <w:pPr>
              <w:pStyle w:val="CEPATabletext"/>
            </w:pPr>
            <w:r>
              <w:t>BioMerieux</w:t>
            </w:r>
          </w:p>
        </w:tc>
        <w:tc>
          <w:tcPr>
            <w:tcW w:w="770" w:type="pct"/>
          </w:tcPr>
          <w:p w14:paraId="37C19BE5" w14:textId="77777777" w:rsidR="008E278A" w:rsidRDefault="008E278A" w:rsidP="008E278A">
            <w:pPr>
              <w:pStyle w:val="CEPATabletext"/>
            </w:pPr>
            <w:r>
              <w:t>NucliSENS</w:t>
            </w:r>
          </w:p>
        </w:tc>
        <w:tc>
          <w:tcPr>
            <w:tcW w:w="1049" w:type="pct"/>
          </w:tcPr>
          <w:p w14:paraId="198674A3" w14:textId="77777777" w:rsidR="008E278A" w:rsidRDefault="008E278A" w:rsidP="008E278A">
            <w:pPr>
              <w:pStyle w:val="CEPATabletext"/>
            </w:pPr>
            <w:r>
              <w:t>Lab-based</w:t>
            </w:r>
          </w:p>
        </w:tc>
        <w:tc>
          <w:tcPr>
            <w:tcW w:w="799" w:type="pct"/>
          </w:tcPr>
          <w:p w14:paraId="56355FE3" w14:textId="77777777" w:rsidR="008E278A" w:rsidRDefault="008E278A" w:rsidP="008E278A">
            <w:pPr>
              <w:pStyle w:val="CEPATabletext"/>
            </w:pPr>
            <w:r>
              <w:t>VL</w:t>
            </w:r>
          </w:p>
        </w:tc>
        <w:tc>
          <w:tcPr>
            <w:tcW w:w="1559" w:type="pct"/>
          </w:tcPr>
          <w:p w14:paraId="58AC7D07" w14:textId="77777777" w:rsidR="008E278A" w:rsidRDefault="008E278A" w:rsidP="008E278A">
            <w:pPr>
              <w:pStyle w:val="CEPATabletext"/>
            </w:pPr>
            <w:r>
              <w:t>2013</w:t>
            </w:r>
          </w:p>
        </w:tc>
      </w:tr>
      <w:tr w:rsidR="0003236B" w14:paraId="7A63FFB8" w14:textId="77777777" w:rsidTr="0003236B">
        <w:tc>
          <w:tcPr>
            <w:tcW w:w="824" w:type="pct"/>
          </w:tcPr>
          <w:p w14:paraId="39FA94A9" w14:textId="4AFFE49C" w:rsidR="008E278A" w:rsidRDefault="008E278A" w:rsidP="008E278A">
            <w:pPr>
              <w:pStyle w:val="CEPATabletext"/>
            </w:pPr>
            <w:r>
              <w:t>Bio</w:t>
            </w:r>
            <w:r w:rsidR="004D0E48">
              <w:t>c</w:t>
            </w:r>
            <w:r>
              <w:t>entric</w:t>
            </w:r>
          </w:p>
        </w:tc>
        <w:tc>
          <w:tcPr>
            <w:tcW w:w="770" w:type="pct"/>
          </w:tcPr>
          <w:p w14:paraId="5D25FD38" w14:textId="77777777" w:rsidR="008E278A" w:rsidRDefault="008E278A" w:rsidP="008E278A">
            <w:pPr>
              <w:pStyle w:val="CEPATabletext"/>
            </w:pPr>
            <w:r>
              <w:t>Platform</w:t>
            </w:r>
          </w:p>
        </w:tc>
        <w:tc>
          <w:tcPr>
            <w:tcW w:w="1049" w:type="pct"/>
          </w:tcPr>
          <w:p w14:paraId="157047C8" w14:textId="77777777" w:rsidR="008E278A" w:rsidRDefault="008E278A" w:rsidP="008E278A">
            <w:pPr>
              <w:pStyle w:val="CEPATabletext"/>
            </w:pPr>
            <w:r>
              <w:t>Lab-based</w:t>
            </w:r>
          </w:p>
        </w:tc>
        <w:tc>
          <w:tcPr>
            <w:tcW w:w="799" w:type="pct"/>
          </w:tcPr>
          <w:p w14:paraId="0F7E6F7E" w14:textId="77777777" w:rsidR="008E278A" w:rsidRDefault="008E278A" w:rsidP="008E278A">
            <w:pPr>
              <w:pStyle w:val="CEPATabletext"/>
            </w:pPr>
            <w:r>
              <w:t>VL</w:t>
            </w:r>
          </w:p>
        </w:tc>
        <w:tc>
          <w:tcPr>
            <w:tcW w:w="1559" w:type="pct"/>
          </w:tcPr>
          <w:p w14:paraId="0087F238" w14:textId="77777777" w:rsidR="008E278A" w:rsidRDefault="008E278A" w:rsidP="008E278A">
            <w:pPr>
              <w:pStyle w:val="CEPATabletext"/>
            </w:pPr>
            <w:r>
              <w:t>2013</w:t>
            </w:r>
          </w:p>
        </w:tc>
      </w:tr>
      <w:tr w:rsidR="0003236B" w14:paraId="31A86041" w14:textId="77777777" w:rsidTr="0003236B">
        <w:tc>
          <w:tcPr>
            <w:tcW w:w="824" w:type="pct"/>
            <w:vMerge w:val="restart"/>
          </w:tcPr>
          <w:p w14:paraId="69562A95" w14:textId="77777777" w:rsidR="008E278A" w:rsidRDefault="008E278A" w:rsidP="008E278A">
            <w:pPr>
              <w:pStyle w:val="CEPATabletext"/>
            </w:pPr>
            <w:r>
              <w:t>DRW</w:t>
            </w:r>
          </w:p>
        </w:tc>
        <w:tc>
          <w:tcPr>
            <w:tcW w:w="770" w:type="pct"/>
          </w:tcPr>
          <w:p w14:paraId="29AC7B5C" w14:textId="77777777" w:rsidR="008E278A" w:rsidRDefault="008E278A" w:rsidP="008E278A">
            <w:pPr>
              <w:pStyle w:val="CEPATabletext"/>
            </w:pPr>
            <w:r>
              <w:t>SAMBA I</w:t>
            </w:r>
          </w:p>
        </w:tc>
        <w:tc>
          <w:tcPr>
            <w:tcW w:w="1049" w:type="pct"/>
          </w:tcPr>
          <w:p w14:paraId="59053B1B" w14:textId="77777777" w:rsidR="008E278A" w:rsidRDefault="008E278A" w:rsidP="008E278A">
            <w:pPr>
              <w:pStyle w:val="CEPATabletext"/>
            </w:pPr>
            <w:r>
              <w:t>POC</w:t>
            </w:r>
          </w:p>
        </w:tc>
        <w:tc>
          <w:tcPr>
            <w:tcW w:w="799" w:type="pct"/>
          </w:tcPr>
          <w:p w14:paraId="38B96DF9" w14:textId="77777777" w:rsidR="008E278A" w:rsidRDefault="008E278A" w:rsidP="008E278A">
            <w:pPr>
              <w:pStyle w:val="CEPATabletext"/>
            </w:pPr>
            <w:r>
              <w:t>VL</w:t>
            </w:r>
          </w:p>
        </w:tc>
        <w:tc>
          <w:tcPr>
            <w:tcW w:w="1559" w:type="pct"/>
          </w:tcPr>
          <w:p w14:paraId="3CBCCA44" w14:textId="77777777" w:rsidR="008E278A" w:rsidRDefault="008E278A" w:rsidP="008E278A">
            <w:pPr>
              <w:pStyle w:val="CEPATabletext"/>
            </w:pPr>
            <w:r>
              <w:t>2013</w:t>
            </w:r>
          </w:p>
        </w:tc>
      </w:tr>
      <w:tr w:rsidR="0003236B" w14:paraId="2C62787E" w14:textId="77777777" w:rsidTr="0003236B">
        <w:tc>
          <w:tcPr>
            <w:tcW w:w="824" w:type="pct"/>
            <w:vMerge/>
          </w:tcPr>
          <w:p w14:paraId="23817761" w14:textId="77777777" w:rsidR="008E278A" w:rsidRDefault="008E278A" w:rsidP="008E278A">
            <w:pPr>
              <w:pStyle w:val="CEPATabletext"/>
            </w:pPr>
          </w:p>
        </w:tc>
        <w:tc>
          <w:tcPr>
            <w:tcW w:w="770" w:type="pct"/>
          </w:tcPr>
          <w:p w14:paraId="38CD8EF1" w14:textId="77777777" w:rsidR="008E278A" w:rsidRDefault="008E278A" w:rsidP="008E278A">
            <w:pPr>
              <w:pStyle w:val="CEPATabletext"/>
            </w:pPr>
            <w:r>
              <w:t>SAMBA II</w:t>
            </w:r>
          </w:p>
        </w:tc>
        <w:tc>
          <w:tcPr>
            <w:tcW w:w="1049" w:type="pct"/>
          </w:tcPr>
          <w:p w14:paraId="40F19110" w14:textId="77777777" w:rsidR="008E278A" w:rsidRDefault="008E278A" w:rsidP="008E278A">
            <w:pPr>
              <w:pStyle w:val="CEPATabletext"/>
            </w:pPr>
            <w:r>
              <w:t>POC</w:t>
            </w:r>
          </w:p>
        </w:tc>
        <w:tc>
          <w:tcPr>
            <w:tcW w:w="799" w:type="pct"/>
          </w:tcPr>
          <w:p w14:paraId="0E56E0AB" w14:textId="77777777" w:rsidR="008E278A" w:rsidRDefault="008E278A" w:rsidP="008E278A">
            <w:pPr>
              <w:pStyle w:val="CEPATabletext"/>
            </w:pPr>
            <w:r>
              <w:t>VL and EID</w:t>
            </w:r>
          </w:p>
        </w:tc>
        <w:tc>
          <w:tcPr>
            <w:tcW w:w="1559" w:type="pct"/>
          </w:tcPr>
          <w:p w14:paraId="35F5A908" w14:textId="77777777" w:rsidR="008E278A" w:rsidRDefault="008E278A" w:rsidP="008E278A">
            <w:pPr>
              <w:pStyle w:val="CEPATabletext"/>
            </w:pPr>
            <w:r>
              <w:t>2016</w:t>
            </w:r>
          </w:p>
        </w:tc>
      </w:tr>
      <w:tr w:rsidR="0003236B" w14:paraId="0F64C1AC" w14:textId="77777777" w:rsidTr="0003236B">
        <w:tc>
          <w:tcPr>
            <w:tcW w:w="824" w:type="pct"/>
            <w:vMerge w:val="restart"/>
          </w:tcPr>
          <w:p w14:paraId="58B5326B" w14:textId="77777777" w:rsidR="008E278A" w:rsidRDefault="008E278A" w:rsidP="008E278A">
            <w:pPr>
              <w:pStyle w:val="CEPATabletext"/>
            </w:pPr>
            <w:r>
              <w:t>Alere</w:t>
            </w:r>
          </w:p>
        </w:tc>
        <w:tc>
          <w:tcPr>
            <w:tcW w:w="770" w:type="pct"/>
          </w:tcPr>
          <w:p w14:paraId="3A5C1900" w14:textId="77777777" w:rsidR="008E278A" w:rsidRDefault="008E278A" w:rsidP="008E278A">
            <w:pPr>
              <w:pStyle w:val="CEPATabletext"/>
            </w:pPr>
            <w:r>
              <w:t>PIMA</w:t>
            </w:r>
          </w:p>
        </w:tc>
        <w:tc>
          <w:tcPr>
            <w:tcW w:w="1049" w:type="pct"/>
          </w:tcPr>
          <w:p w14:paraId="7A37DE94" w14:textId="77777777" w:rsidR="008E278A" w:rsidRDefault="008E278A" w:rsidP="008E278A">
            <w:pPr>
              <w:pStyle w:val="CEPATabletext"/>
            </w:pPr>
            <w:r>
              <w:t>POC</w:t>
            </w:r>
          </w:p>
        </w:tc>
        <w:tc>
          <w:tcPr>
            <w:tcW w:w="799" w:type="pct"/>
          </w:tcPr>
          <w:p w14:paraId="4C62BBD7" w14:textId="77777777" w:rsidR="008E278A" w:rsidRDefault="008E278A" w:rsidP="008E278A">
            <w:pPr>
              <w:pStyle w:val="CEPATabletext"/>
            </w:pPr>
            <w:r>
              <w:t>CD4</w:t>
            </w:r>
          </w:p>
        </w:tc>
        <w:tc>
          <w:tcPr>
            <w:tcW w:w="1559" w:type="pct"/>
          </w:tcPr>
          <w:p w14:paraId="02CD0C7D" w14:textId="77777777" w:rsidR="008E278A" w:rsidRDefault="008E278A" w:rsidP="008E278A">
            <w:pPr>
              <w:pStyle w:val="CEPATabletext"/>
            </w:pPr>
            <w:r>
              <w:t>2013</w:t>
            </w:r>
          </w:p>
        </w:tc>
      </w:tr>
      <w:tr w:rsidR="0003236B" w14:paraId="2D5C3BB3" w14:textId="77777777" w:rsidTr="0003236B">
        <w:tc>
          <w:tcPr>
            <w:tcW w:w="824" w:type="pct"/>
            <w:vMerge/>
          </w:tcPr>
          <w:p w14:paraId="2766A80C" w14:textId="77777777" w:rsidR="008E278A" w:rsidRDefault="008E278A" w:rsidP="008E278A">
            <w:pPr>
              <w:pStyle w:val="CEPATabletext"/>
            </w:pPr>
          </w:p>
        </w:tc>
        <w:tc>
          <w:tcPr>
            <w:tcW w:w="770" w:type="pct"/>
          </w:tcPr>
          <w:p w14:paraId="2849A68F" w14:textId="77777777" w:rsidR="008E278A" w:rsidRDefault="008E278A" w:rsidP="008E278A">
            <w:pPr>
              <w:pStyle w:val="CEPATabletext"/>
            </w:pPr>
            <w:r>
              <w:t>Alere Q</w:t>
            </w:r>
          </w:p>
        </w:tc>
        <w:tc>
          <w:tcPr>
            <w:tcW w:w="1049" w:type="pct"/>
          </w:tcPr>
          <w:p w14:paraId="2C877964" w14:textId="77777777" w:rsidR="008E278A" w:rsidRDefault="008E278A" w:rsidP="008E278A">
            <w:pPr>
              <w:pStyle w:val="CEPATabletext"/>
            </w:pPr>
            <w:r>
              <w:t>POC</w:t>
            </w:r>
          </w:p>
        </w:tc>
        <w:tc>
          <w:tcPr>
            <w:tcW w:w="799" w:type="pct"/>
          </w:tcPr>
          <w:p w14:paraId="6448C911" w14:textId="77777777" w:rsidR="008E278A" w:rsidRDefault="008E278A" w:rsidP="008E278A">
            <w:pPr>
              <w:pStyle w:val="CEPATabletext"/>
            </w:pPr>
            <w:r>
              <w:t>VL and EID</w:t>
            </w:r>
          </w:p>
        </w:tc>
        <w:tc>
          <w:tcPr>
            <w:tcW w:w="1559" w:type="pct"/>
          </w:tcPr>
          <w:p w14:paraId="575685EA" w14:textId="77777777" w:rsidR="008E278A" w:rsidRDefault="008E278A" w:rsidP="008E278A">
            <w:pPr>
              <w:pStyle w:val="CEPATabletext"/>
            </w:pPr>
            <w:r>
              <w:t>2015</w:t>
            </w:r>
          </w:p>
        </w:tc>
      </w:tr>
      <w:tr w:rsidR="0003236B" w14:paraId="1808B021" w14:textId="77777777" w:rsidTr="0003236B">
        <w:tc>
          <w:tcPr>
            <w:tcW w:w="824" w:type="pct"/>
          </w:tcPr>
          <w:p w14:paraId="466B05C3" w14:textId="77777777" w:rsidR="008E278A" w:rsidRDefault="008E278A" w:rsidP="008E278A">
            <w:pPr>
              <w:pStyle w:val="CEPATabletext"/>
            </w:pPr>
            <w:r w:rsidRPr="003A41E4">
              <w:t>Abbott</w:t>
            </w:r>
          </w:p>
        </w:tc>
        <w:tc>
          <w:tcPr>
            <w:tcW w:w="770" w:type="pct"/>
          </w:tcPr>
          <w:p w14:paraId="12C8EB79" w14:textId="77777777" w:rsidR="008E278A" w:rsidRDefault="008E278A" w:rsidP="008E278A">
            <w:pPr>
              <w:pStyle w:val="CEPATabletext"/>
            </w:pPr>
            <w:r w:rsidRPr="003A41E4">
              <w:t>RealTime</w:t>
            </w:r>
          </w:p>
        </w:tc>
        <w:tc>
          <w:tcPr>
            <w:tcW w:w="1049" w:type="pct"/>
          </w:tcPr>
          <w:p w14:paraId="40FE4E6F" w14:textId="77777777" w:rsidR="008E278A" w:rsidRDefault="008E278A" w:rsidP="008E278A">
            <w:pPr>
              <w:pStyle w:val="CEPATabletext"/>
            </w:pPr>
            <w:r w:rsidRPr="003A41E4">
              <w:t>Lab-based</w:t>
            </w:r>
          </w:p>
        </w:tc>
        <w:tc>
          <w:tcPr>
            <w:tcW w:w="799" w:type="pct"/>
          </w:tcPr>
          <w:p w14:paraId="7713CB1E" w14:textId="77777777" w:rsidR="008E278A" w:rsidRPr="003A41E4" w:rsidRDefault="008E278A" w:rsidP="008E278A">
            <w:pPr>
              <w:pStyle w:val="CEPATabletext"/>
            </w:pPr>
            <w:r>
              <w:t>VL and EID</w:t>
            </w:r>
          </w:p>
        </w:tc>
        <w:tc>
          <w:tcPr>
            <w:tcW w:w="1559" w:type="pct"/>
          </w:tcPr>
          <w:p w14:paraId="4D643316" w14:textId="77777777" w:rsidR="008E278A" w:rsidRDefault="008E278A" w:rsidP="008E278A">
            <w:pPr>
              <w:pStyle w:val="CEPATabletext"/>
            </w:pPr>
            <w:r w:rsidRPr="003A41E4">
              <w:t>2015</w:t>
            </w:r>
            <w:r>
              <w:t xml:space="preserve"> (for DBS)</w:t>
            </w:r>
          </w:p>
        </w:tc>
      </w:tr>
      <w:tr w:rsidR="0003236B" w14:paraId="3F52FFD8" w14:textId="77777777" w:rsidTr="0003236B">
        <w:tc>
          <w:tcPr>
            <w:tcW w:w="824" w:type="pct"/>
          </w:tcPr>
          <w:p w14:paraId="2059B35D" w14:textId="77777777" w:rsidR="008E278A" w:rsidRDefault="008E278A" w:rsidP="008E278A">
            <w:pPr>
              <w:pStyle w:val="CEPATabletext"/>
            </w:pPr>
            <w:r>
              <w:t>Cepheid</w:t>
            </w:r>
          </w:p>
        </w:tc>
        <w:tc>
          <w:tcPr>
            <w:tcW w:w="770" w:type="pct"/>
          </w:tcPr>
          <w:p w14:paraId="2C42B44E" w14:textId="77777777" w:rsidR="008E278A" w:rsidRDefault="008E278A" w:rsidP="008E278A">
            <w:pPr>
              <w:pStyle w:val="CEPATabletext"/>
            </w:pPr>
            <w:r>
              <w:t>GeneXpert</w:t>
            </w:r>
          </w:p>
        </w:tc>
        <w:tc>
          <w:tcPr>
            <w:tcW w:w="1049" w:type="pct"/>
          </w:tcPr>
          <w:p w14:paraId="160BCCAF" w14:textId="77777777" w:rsidR="008E278A" w:rsidRDefault="008E278A" w:rsidP="008E278A">
            <w:pPr>
              <w:pStyle w:val="CEPATabletext"/>
            </w:pPr>
            <w:r>
              <w:t>POC</w:t>
            </w:r>
          </w:p>
        </w:tc>
        <w:tc>
          <w:tcPr>
            <w:tcW w:w="799" w:type="pct"/>
          </w:tcPr>
          <w:p w14:paraId="5DB81FD4" w14:textId="77777777" w:rsidR="008E278A" w:rsidRDefault="008E278A" w:rsidP="008E278A">
            <w:pPr>
              <w:pStyle w:val="CEPATabletext"/>
            </w:pPr>
            <w:r>
              <w:t>VL and EID</w:t>
            </w:r>
          </w:p>
        </w:tc>
        <w:tc>
          <w:tcPr>
            <w:tcW w:w="1559" w:type="pct"/>
          </w:tcPr>
          <w:p w14:paraId="7BA9E213" w14:textId="0AC8A949" w:rsidR="008E278A" w:rsidRDefault="008E278A" w:rsidP="0003236B">
            <w:pPr>
              <w:pStyle w:val="CEPATabletext"/>
            </w:pPr>
            <w:r>
              <w:t>2016</w:t>
            </w:r>
            <w:r w:rsidR="007A60EC">
              <w:t xml:space="preserve"> </w:t>
            </w:r>
          </w:p>
        </w:tc>
      </w:tr>
    </w:tbl>
    <w:p w14:paraId="14E62DB8" w14:textId="1AC98E33" w:rsidR="00491A46" w:rsidRPr="00F12ED3" w:rsidRDefault="00491A46" w:rsidP="00491A46">
      <w:pPr>
        <w:pStyle w:val="CEPATabletext"/>
        <w:rPr>
          <w:i/>
        </w:rPr>
      </w:pPr>
      <w:r>
        <w:rPr>
          <w:i/>
        </w:rPr>
        <w:t>Sources: End of Project Report, Annual Report 2016, Annual Report 2015 and Annual Report 2013</w:t>
      </w:r>
    </w:p>
    <w:p w14:paraId="0E494C43" w14:textId="2D50A655" w:rsidR="00491A46" w:rsidRPr="002B1C06" w:rsidRDefault="0003236B" w:rsidP="00B5354F">
      <w:pPr>
        <w:pStyle w:val="CEPAReportText"/>
        <w:rPr>
          <w:b/>
        </w:rPr>
      </w:pPr>
      <w:r>
        <w:t xml:space="preserve">As such, </w:t>
      </w:r>
      <w:r w:rsidR="007C297F">
        <w:t xml:space="preserve">MSF had to revise its country plan on an ongoing basis, as technologies became available, resulting in later than planned commencement of activities in many cases. The </w:t>
      </w:r>
      <w:r w:rsidR="008E278A">
        <w:t xml:space="preserve">project activities that were most impacted by the delays in technologies coming on-stream related to POC operational research for EID and VL. </w:t>
      </w:r>
    </w:p>
    <w:p w14:paraId="5DAC3B7F" w14:textId="283DB445" w:rsidR="00491A46" w:rsidRDefault="00B61ABF" w:rsidP="00491A46">
      <w:pPr>
        <w:pStyle w:val="Heading3"/>
        <w:numPr>
          <w:ilvl w:val="2"/>
          <w:numId w:val="2"/>
        </w:numPr>
      </w:pPr>
      <w:r>
        <w:t>P</w:t>
      </w:r>
      <w:r w:rsidR="00491A46">
        <w:t>roject management</w:t>
      </w:r>
      <w:r w:rsidR="009E3EEE">
        <w:t xml:space="preserve"> structure </w:t>
      </w:r>
    </w:p>
    <w:p w14:paraId="1CF264DD" w14:textId="72EF4146" w:rsidR="000F7BD7" w:rsidRDefault="00491A46" w:rsidP="00491A46">
      <w:pPr>
        <w:pStyle w:val="CEPAReportText"/>
      </w:pPr>
      <w:r>
        <w:t>The project is structured within MSF with MSF</w:t>
      </w:r>
      <w:r w:rsidR="005E13F7">
        <w:t xml:space="preserve"> </w:t>
      </w:r>
      <w:r>
        <w:t>Belgium</w:t>
      </w:r>
      <w:r w:rsidR="005E13F7">
        <w:t>: Operational Centre Brussels (OCB)</w:t>
      </w:r>
      <w:r>
        <w:t xml:space="preserve"> as the lead partner in charge of coordinating the project, along with three other MSF entities </w:t>
      </w:r>
      <w:r w:rsidR="005E13F7">
        <w:t xml:space="preserve">as sub-partners: </w:t>
      </w:r>
      <w:r>
        <w:t>MSF France</w:t>
      </w:r>
      <w:r w:rsidR="005E13F7">
        <w:t>: Operational Centre Paris (OCP</w:t>
      </w:r>
      <w:r w:rsidR="008E278A">
        <w:t>);</w:t>
      </w:r>
      <w:r>
        <w:t xml:space="preserve"> MSF Switzerland</w:t>
      </w:r>
      <w:r w:rsidR="005E13F7">
        <w:t>: Operational Centre Geneva (OCG);</w:t>
      </w:r>
      <w:r>
        <w:t xml:space="preserve"> and MSF International Access Campaign</w:t>
      </w:r>
      <w:r w:rsidR="008E278A">
        <w:t>.</w:t>
      </w:r>
      <w:r>
        <w:t xml:space="preserve"> Field operations are delivered by MSF </w:t>
      </w:r>
      <w:r w:rsidR="005E13F7">
        <w:t xml:space="preserve">OCB </w:t>
      </w:r>
      <w:r>
        <w:t>(</w:t>
      </w:r>
      <w:r w:rsidR="005E13F7">
        <w:t xml:space="preserve">DRC, </w:t>
      </w:r>
      <w:r>
        <w:t xml:space="preserve">Lesotho, Mozambique, Malawi, South Africa, Zimbabwe), MSF </w:t>
      </w:r>
      <w:r w:rsidR="005E13F7">
        <w:t xml:space="preserve">OCP </w:t>
      </w:r>
      <w:r>
        <w:t>(</w:t>
      </w:r>
      <w:r w:rsidR="006169D0">
        <w:t xml:space="preserve">Kenya, </w:t>
      </w:r>
      <w:r>
        <w:t xml:space="preserve">Malawi, Uganda) and MSF </w:t>
      </w:r>
      <w:r w:rsidR="005E13F7">
        <w:t xml:space="preserve">OCG </w:t>
      </w:r>
      <w:r>
        <w:t>(Mozambique, Swaziland), alongside technical, operational research and M&amp;E support from the South African Medical Unit (SAMU) and EpiCentre  as well as the MSF Access Campaign for issues relating to cost-effectiveness and market analysis.</w:t>
      </w:r>
    </w:p>
    <w:p w14:paraId="6EAAC24D" w14:textId="30EC846F" w:rsidR="00491A46" w:rsidRDefault="000F7BD7" w:rsidP="00491A46">
      <w:pPr>
        <w:pStyle w:val="CEPAReportText"/>
      </w:pPr>
      <w:r>
        <w:t>As such, the project structure within MSF is complex, involving multiple entities with overlapping (although discrete) functions. We consider implications for MSF-Unitaid engagement and project implementation more generally</w:t>
      </w:r>
      <w:r w:rsidR="00F746B3">
        <w:t xml:space="preserve"> </w:t>
      </w:r>
      <w:r w:rsidR="009E3EEE">
        <w:t>below</w:t>
      </w:r>
      <w:r>
        <w:t xml:space="preserve">. </w:t>
      </w:r>
    </w:p>
    <w:p w14:paraId="3D2049B6" w14:textId="7916EB96" w:rsidR="002B49FB" w:rsidRDefault="002B49FB" w:rsidP="002B49FB">
      <w:pPr>
        <w:pStyle w:val="Heading4"/>
      </w:pPr>
      <w:r>
        <w:t>Implications for MSF-</w:t>
      </w:r>
      <w:r w:rsidR="00B55E9C">
        <w:t>Unitaid</w:t>
      </w:r>
      <w:r>
        <w:t xml:space="preserve"> engagement </w:t>
      </w:r>
    </w:p>
    <w:p w14:paraId="27ED035A" w14:textId="5EC536E3" w:rsidR="00491A46" w:rsidRPr="004A14BA" w:rsidRDefault="00491A46" w:rsidP="00491A46">
      <w:pPr>
        <w:pStyle w:val="CEPAReportText"/>
      </w:pPr>
      <w:r>
        <w:t>We understand that this complex project structure resulted in a lengthy process</w:t>
      </w:r>
      <w:r w:rsidR="00444F01" w:rsidRPr="00444F01">
        <w:t xml:space="preserve"> </w:t>
      </w:r>
      <w:r>
        <w:t>for project sign-off</w:t>
      </w:r>
      <w:r w:rsidR="00444F01">
        <w:t xml:space="preserve"> to establish agreed ways of working and</w:t>
      </w:r>
      <w:r w:rsidR="00444F01" w:rsidRPr="00444F01">
        <w:t xml:space="preserve"> reporting</w:t>
      </w:r>
      <w:r w:rsidR="00444F01">
        <w:t xml:space="preserve"> </w:t>
      </w:r>
      <w:r>
        <w:t xml:space="preserve">between </w:t>
      </w:r>
      <w:r w:rsidR="00B55E9C">
        <w:t>Unitaid</w:t>
      </w:r>
      <w:r>
        <w:t xml:space="preserve"> and MSF, with this project being </w:t>
      </w:r>
      <w:r w:rsidR="00B55E9C">
        <w:t>Unitaid</w:t>
      </w:r>
      <w:r>
        <w:t xml:space="preserve">’s first project engagement with MSF and hence lack of familiarity with their structure for operations. This was also a first-time engagement with a donor like </w:t>
      </w:r>
      <w:r w:rsidR="00B55E9C">
        <w:t>Unitaid</w:t>
      </w:r>
      <w:r>
        <w:t xml:space="preserve"> for MSF, and hence had its own implications for management within the existing structures of MSF. For example, the 2013 progress report noted the heavy reporting burden </w:t>
      </w:r>
      <w:r w:rsidR="00F677C7">
        <w:t>(also confirmed by country offices during our field visits)</w:t>
      </w:r>
      <w:r>
        <w:t xml:space="preserve">. The report also notes the start-up time required to formalise relationship with </w:t>
      </w:r>
      <w:r w:rsidR="00B55E9C">
        <w:t>Unitaid</w:t>
      </w:r>
      <w:r>
        <w:t xml:space="preserve">. (e.g. establish SOPs, </w:t>
      </w:r>
      <w:r w:rsidR="00B61ABF">
        <w:t>etc.</w:t>
      </w:r>
      <w:r>
        <w:t>)</w:t>
      </w:r>
      <w:r w:rsidR="00B61ABF">
        <w:t xml:space="preserve">, highlighting frequent changes </w:t>
      </w:r>
      <w:r w:rsidR="000F7BD7">
        <w:t xml:space="preserve">within </w:t>
      </w:r>
      <w:r w:rsidR="00B55E9C">
        <w:t>Unitaid</w:t>
      </w:r>
      <w:r w:rsidR="00B61ABF">
        <w:t xml:space="preserve"> as a challenge</w:t>
      </w:r>
      <w:r>
        <w:t xml:space="preserve">. </w:t>
      </w:r>
    </w:p>
    <w:p w14:paraId="2F37DAD1" w14:textId="0ECC5197" w:rsidR="008E278A" w:rsidRDefault="008E278A" w:rsidP="008E278A">
      <w:pPr>
        <w:pStyle w:val="CEPAReportText"/>
      </w:pPr>
      <w:r>
        <w:t xml:space="preserve">MSF country offices noted that </w:t>
      </w:r>
      <w:r w:rsidR="00B55E9C">
        <w:t>Unitaid</w:t>
      </w:r>
      <w:r>
        <w:t xml:space="preserve"> engagement during the course of the project was supportive and the flexibility from </w:t>
      </w:r>
      <w:r w:rsidR="00B55E9C">
        <w:t>Unitaid</w:t>
      </w:r>
      <w:r>
        <w:t xml:space="preserve"> was much appreciated to accommodate the complex nature of the project. A consideration from MSF’s perspective was regarding the relative merits of 100% independence versus the added merits of engaging with </w:t>
      </w:r>
      <w:r w:rsidR="00A01EB9">
        <w:t xml:space="preserve">a </w:t>
      </w:r>
      <w:r>
        <w:t>donor</w:t>
      </w:r>
      <w:r w:rsidR="000F7BD7">
        <w:t xml:space="preserve"> such as Unitaid</w:t>
      </w:r>
      <w:r>
        <w:t xml:space="preserve">. </w:t>
      </w:r>
      <w:r w:rsidR="000F7BD7">
        <w:t>Their view was that</w:t>
      </w:r>
      <w:r>
        <w:t xml:space="preserve"> positives includ</w:t>
      </w:r>
      <w:r w:rsidR="000F7BD7">
        <w:t>ed</w:t>
      </w:r>
      <w:r>
        <w:t xml:space="preserve"> the global </w:t>
      </w:r>
      <w:r w:rsidR="000F7BD7">
        <w:t xml:space="preserve">access achieved </w:t>
      </w:r>
      <w:r w:rsidR="0073693B">
        <w:t xml:space="preserve">through </w:t>
      </w:r>
      <w:r w:rsidR="00B55E9C">
        <w:t>Unitaid</w:t>
      </w:r>
      <w:r w:rsidR="0073693B">
        <w:t xml:space="preserve"> funding</w:t>
      </w:r>
      <w:r w:rsidR="000F7BD7">
        <w:t xml:space="preserve">, while </w:t>
      </w:r>
      <w:r>
        <w:t xml:space="preserve">negatives </w:t>
      </w:r>
      <w:r w:rsidR="000F7BD7">
        <w:t>were additional transaction costs on reporting</w:t>
      </w:r>
      <w:r w:rsidR="00DE4DC9">
        <w:t xml:space="preserve">. </w:t>
      </w:r>
    </w:p>
    <w:p w14:paraId="4E81400E" w14:textId="2E6DD632" w:rsidR="002B49FB" w:rsidRDefault="002B49FB" w:rsidP="002B49FB">
      <w:pPr>
        <w:pStyle w:val="Heading4"/>
      </w:pPr>
      <w:r>
        <w:t xml:space="preserve">Implications for project implementation </w:t>
      </w:r>
    </w:p>
    <w:p w14:paraId="515FEE57" w14:textId="41A938BB" w:rsidR="001575E3" w:rsidRDefault="00490BF2" w:rsidP="008E278A">
      <w:pPr>
        <w:pStyle w:val="CEPAReportText"/>
      </w:pPr>
      <w:r>
        <w:t xml:space="preserve">In-country respondents including government, health facility staff, and </w:t>
      </w:r>
      <w:r w:rsidR="009E3EEE">
        <w:t>p</w:t>
      </w:r>
      <w:r>
        <w:t>artners noted that t</w:t>
      </w:r>
      <w:r w:rsidR="008E278A">
        <w:t xml:space="preserve">he project has </w:t>
      </w:r>
      <w:r w:rsidR="000F7BD7">
        <w:t xml:space="preserve">been </w:t>
      </w:r>
      <w:r w:rsidR="008E278A">
        <w:t>managed well in country</w:t>
      </w:r>
      <w:r w:rsidR="009E3EEE">
        <w:t>, h</w:t>
      </w:r>
      <w:r w:rsidR="001575E3">
        <w:t>owever:</w:t>
      </w:r>
    </w:p>
    <w:p w14:paraId="23289D85" w14:textId="032901FA" w:rsidR="001575E3" w:rsidRDefault="008E278A" w:rsidP="001575E3">
      <w:pPr>
        <w:pStyle w:val="CEPABullets"/>
      </w:pPr>
      <w:r>
        <w:t xml:space="preserve">Whilst the project has improved coordination between MSF units, it seems a missed opportunity that further learnings were not shared between the units. </w:t>
      </w:r>
      <w:r w:rsidR="009E3EEE">
        <w:t>There were only some select examples of</w:t>
      </w:r>
      <w:r>
        <w:t xml:space="preserve"> evidence sharing </w:t>
      </w:r>
      <w:r w:rsidR="002F085B">
        <w:t xml:space="preserve">such </w:t>
      </w:r>
      <w:r>
        <w:t xml:space="preserve">between Malawi (Chiradzulu) and Uganda on use of the SAMBA II and between Malawi and Mozambique on the </w:t>
      </w:r>
      <w:r w:rsidR="009576C8">
        <w:t>Community ART Groups (</w:t>
      </w:r>
      <w:r>
        <w:t>CAG</w:t>
      </w:r>
      <w:r w:rsidR="00BC6B8E">
        <w:t>s</w:t>
      </w:r>
      <w:r w:rsidR="009576C8">
        <w:t>)</w:t>
      </w:r>
      <w:r w:rsidR="000F7BD7">
        <w:t xml:space="preserve"> – further discussed in Section 3.3</w:t>
      </w:r>
      <w:r>
        <w:t xml:space="preserve">. </w:t>
      </w:r>
    </w:p>
    <w:p w14:paraId="0CE523CD" w14:textId="62ED1BB0" w:rsidR="001575E3" w:rsidRDefault="009E3EEE" w:rsidP="001575E3">
      <w:pPr>
        <w:pStyle w:val="CEPABullets"/>
      </w:pPr>
      <w:r>
        <w:t>D</w:t>
      </w:r>
      <w:r w:rsidR="008E278A">
        <w:t xml:space="preserve">ifferent MSF offices had different approaches (e.g. in Malawi where OCB supported a centralised approach and OCP supported a decentralised POC approach),  </w:t>
      </w:r>
      <w:r>
        <w:t>and there was lack of synchrony in approach</w:t>
      </w:r>
      <w:r w:rsidR="008E278A">
        <w:t>.</w:t>
      </w:r>
      <w:r w:rsidR="008E278A" w:rsidDel="007D3318">
        <w:t xml:space="preserve"> </w:t>
      </w:r>
    </w:p>
    <w:p w14:paraId="7E10721D" w14:textId="18003877" w:rsidR="008E278A" w:rsidRDefault="009E3EEE" w:rsidP="001575E3">
      <w:pPr>
        <w:pStyle w:val="CEPABullets"/>
      </w:pPr>
      <w:r>
        <w:t>The</w:t>
      </w:r>
      <w:r w:rsidR="008E278A">
        <w:t xml:space="preserve"> structure of multiple MSF units appeared mostly </w:t>
      </w:r>
      <w:r w:rsidR="002D585C">
        <w:t xml:space="preserve">to </w:t>
      </w:r>
      <w:r w:rsidR="008E278A">
        <w:t xml:space="preserve">have worked well, </w:t>
      </w:r>
      <w:r>
        <w:t xml:space="preserve">however </w:t>
      </w:r>
      <w:r w:rsidR="008E278A">
        <w:t xml:space="preserve">there were instances in which </w:t>
      </w:r>
      <w:r w:rsidR="00044D06">
        <w:t xml:space="preserve">it was considered that </w:t>
      </w:r>
      <w:r w:rsidR="008E278A">
        <w:t xml:space="preserve">inefficiencies were caused </w:t>
      </w:r>
      <w:r>
        <w:t>through ultimate</w:t>
      </w:r>
      <w:r w:rsidR="008E278A">
        <w:t xml:space="preserve"> approvals </w:t>
      </w:r>
      <w:r>
        <w:t>required from</w:t>
      </w:r>
      <w:r w:rsidR="008E278A">
        <w:t xml:space="preserve"> head offices. </w:t>
      </w:r>
    </w:p>
    <w:p w14:paraId="2DF8FCAC" w14:textId="2BB9E8D3" w:rsidR="008E278A" w:rsidRDefault="009E3EEE" w:rsidP="008E278A">
      <w:pPr>
        <w:pStyle w:val="Heading3"/>
        <w:numPr>
          <w:ilvl w:val="2"/>
          <w:numId w:val="2"/>
        </w:numPr>
      </w:pPr>
      <w:r>
        <w:t>Approach to measuring results</w:t>
      </w:r>
    </w:p>
    <w:p w14:paraId="440211B9" w14:textId="5F3DE8D1" w:rsidR="008E278A" w:rsidRDefault="009E3EEE" w:rsidP="008E278A">
      <w:pPr>
        <w:pStyle w:val="CEPAReportText"/>
      </w:pPr>
      <w:r>
        <w:t>There were a number of challenges with the logframe and reporting, including</w:t>
      </w:r>
      <w:r w:rsidR="00811139">
        <w:t xml:space="preserve"> the following</w:t>
      </w:r>
      <w:r>
        <w:t xml:space="preserve">: </w:t>
      </w:r>
    </w:p>
    <w:p w14:paraId="4D652E62" w14:textId="102BDB5A" w:rsidR="00CF7FBC" w:rsidRDefault="00811139" w:rsidP="008B5686">
      <w:pPr>
        <w:pStyle w:val="CEPABullets"/>
      </w:pPr>
      <w:r>
        <w:rPr>
          <w:b/>
        </w:rPr>
        <w:t xml:space="preserve">Poor development: </w:t>
      </w:r>
      <w:r w:rsidRPr="00811139">
        <w:t>MSF noted that the initial logframe was not developed in close consultation with th</w:t>
      </w:r>
      <w:r>
        <w:t xml:space="preserve">em, resulting in </w:t>
      </w:r>
      <w:r w:rsidRPr="00811139">
        <w:t>limited ownership and buy-in. The</w:t>
      </w:r>
      <w:r w:rsidR="00CF7FBC" w:rsidRPr="00811139">
        <w:t xml:space="preserve"> logframe did not adequately capture the diversity of the grant’s objectives</w:t>
      </w:r>
      <w:r>
        <w:t xml:space="preserve">, and in particular MSF </w:t>
      </w:r>
      <w:r w:rsidR="00CF7FBC" w:rsidRPr="00811139">
        <w:t>did not believe that the chosen indicators offered a meaningful ‘measure of success’.</w:t>
      </w:r>
      <w:r>
        <w:t xml:space="preserve"> </w:t>
      </w:r>
      <w:r w:rsidR="00CF7FBC" w:rsidRPr="00811139">
        <w:t xml:space="preserve">As a result, there was limited use of the logframe as a management tool by </w:t>
      </w:r>
      <w:r w:rsidR="00B55E9C" w:rsidRPr="00811139">
        <w:t>Unitaid</w:t>
      </w:r>
      <w:r w:rsidR="00CF7FBC">
        <w:t>.</w:t>
      </w:r>
    </w:p>
    <w:p w14:paraId="778EA182" w14:textId="7D8ABC9F" w:rsidR="008E278A" w:rsidRDefault="00811139" w:rsidP="00BC145E">
      <w:pPr>
        <w:pStyle w:val="CEPABullets"/>
      </w:pPr>
      <w:r>
        <w:rPr>
          <w:b/>
        </w:rPr>
        <w:t xml:space="preserve">Multiple revisions: </w:t>
      </w:r>
      <w:r w:rsidR="00CF7FBC" w:rsidRPr="00811139">
        <w:t xml:space="preserve">There </w:t>
      </w:r>
      <w:r w:rsidR="008E278A" w:rsidRPr="00811139">
        <w:t>was</w:t>
      </w:r>
      <w:r w:rsidR="00CF7FBC" w:rsidRPr="00811139">
        <w:t xml:space="preserve"> a constant revision of targets and </w:t>
      </w:r>
      <w:r w:rsidR="008E278A" w:rsidRPr="00811139">
        <w:t>indicators with the most significant revision in A</w:t>
      </w:r>
      <w:r w:rsidR="008E278A">
        <w:t>ugust 2015</w:t>
      </w:r>
      <w:r w:rsidR="00FA6B9B">
        <w:t xml:space="preserve"> (mainly on account of changing WHO guidelines and country work plans, as discussed previously)</w:t>
      </w:r>
      <w:r w:rsidR="008E278A">
        <w:t>. Key revisions to the logframe included:</w:t>
      </w:r>
      <w:r>
        <w:rPr>
          <w:rStyle w:val="FootnoteReference"/>
        </w:rPr>
        <w:footnoteReference w:id="35"/>
      </w:r>
    </w:p>
    <w:p w14:paraId="35D70265" w14:textId="38721B95" w:rsidR="008E278A" w:rsidRPr="00811139" w:rsidRDefault="008E278A" w:rsidP="00846486">
      <w:pPr>
        <w:pStyle w:val="CEPABullets"/>
        <w:numPr>
          <w:ilvl w:val="1"/>
          <w:numId w:val="19"/>
        </w:numPr>
      </w:pPr>
      <w:r w:rsidRPr="00811139">
        <w:t>The CD4 goal on linkage to ART following POC CD4 testing was removed after 2015.</w:t>
      </w:r>
      <w:r w:rsidRPr="00811139">
        <w:rPr>
          <w:rStyle w:val="FootnoteReference"/>
        </w:rPr>
        <w:footnoteReference w:id="36"/>
      </w:r>
      <w:r w:rsidRPr="00811139">
        <w:t xml:space="preserve"> This reflected the revision to the WHO normative guidance on ART monitoring published in 2013.</w:t>
      </w:r>
      <w:r w:rsidRPr="00811139">
        <w:rPr>
          <w:rStyle w:val="FootnoteReference"/>
        </w:rPr>
        <w:footnoteReference w:id="37"/>
      </w:r>
    </w:p>
    <w:p w14:paraId="1483B46F" w14:textId="7336003C" w:rsidR="008E278A" w:rsidRPr="00811139" w:rsidRDefault="008E278A" w:rsidP="00846486">
      <w:pPr>
        <w:pStyle w:val="CEPABullets"/>
        <w:numPr>
          <w:ilvl w:val="1"/>
          <w:numId w:val="19"/>
        </w:numPr>
      </w:pPr>
      <w:r w:rsidRPr="00811139">
        <w:t>The EID goal was changed from: (i) the number of EID-testing HIV-positive infants initiated on ART; to (ii) the number of calendar days from EID sample collection to initiation on ART.</w:t>
      </w:r>
    </w:p>
    <w:p w14:paraId="1BADD4B4" w14:textId="5B22045A" w:rsidR="008E278A" w:rsidRDefault="008E278A" w:rsidP="00846486">
      <w:pPr>
        <w:pStyle w:val="CEPABullets"/>
        <w:numPr>
          <w:ilvl w:val="1"/>
          <w:numId w:val="19"/>
        </w:numPr>
      </w:pPr>
      <w:r w:rsidRPr="00811139">
        <w:t xml:space="preserve">Nineteen </w:t>
      </w:r>
      <w:r w:rsidR="00022771" w:rsidRPr="00811139">
        <w:t>of 24</w:t>
      </w:r>
      <w:r w:rsidRPr="00811139">
        <w:t xml:space="preserve"> output indicators were removed in 2015 and </w:t>
      </w:r>
      <w:r w:rsidR="00022771" w:rsidRPr="00811139">
        <w:t xml:space="preserve">only </w:t>
      </w:r>
      <w:r w:rsidRPr="00811139">
        <w:t>five output indicators were reported against in the End</w:t>
      </w:r>
      <w:r>
        <w:t xml:space="preserve"> of Project Report.</w:t>
      </w:r>
    </w:p>
    <w:p w14:paraId="7D61A7BF" w14:textId="605EB090" w:rsidR="00811139" w:rsidRPr="00811139" w:rsidRDefault="00811139" w:rsidP="008E278A">
      <w:pPr>
        <w:pStyle w:val="CEPABullets"/>
      </w:pPr>
      <w:r>
        <w:rPr>
          <w:b/>
        </w:rPr>
        <w:t xml:space="preserve">Technical weaknesses: </w:t>
      </w:r>
      <w:r w:rsidR="00BC145E" w:rsidRPr="00811139">
        <w:t xml:space="preserve">There </w:t>
      </w:r>
      <w:r w:rsidR="00CF7FBC" w:rsidRPr="00811139">
        <w:t xml:space="preserve">were </w:t>
      </w:r>
      <w:r w:rsidR="00BC145E" w:rsidRPr="00811139">
        <w:t>also</w:t>
      </w:r>
      <w:r w:rsidR="00CF7FBC" w:rsidRPr="00811139">
        <w:t xml:space="preserve"> a number of </w:t>
      </w:r>
      <w:r w:rsidR="00BC145E" w:rsidRPr="00811139">
        <w:t>technical</w:t>
      </w:r>
      <w:r w:rsidR="008E278A" w:rsidRPr="00811139">
        <w:t xml:space="preserve"> weaknesses </w:t>
      </w:r>
      <w:r w:rsidR="00BC145E" w:rsidRPr="00811139">
        <w:t>including</w:t>
      </w:r>
      <w:r w:rsidRPr="00811139">
        <w:t xml:space="preserve"> the following</w:t>
      </w:r>
    </w:p>
    <w:p w14:paraId="3768D827" w14:textId="55F21F12" w:rsidR="00811139" w:rsidRDefault="00BC145E" w:rsidP="00846486">
      <w:pPr>
        <w:pStyle w:val="CEPABullets"/>
        <w:numPr>
          <w:ilvl w:val="1"/>
          <w:numId w:val="19"/>
        </w:numPr>
      </w:pPr>
      <w:r w:rsidRPr="00811139">
        <w:t>t</w:t>
      </w:r>
      <w:r w:rsidR="008E278A" w:rsidRPr="00811139">
        <w:t>here was a wide mix of indicators at</w:t>
      </w:r>
      <w:r w:rsidR="008E278A">
        <w:t xml:space="preserve"> the same level, although they have different levels of significance, e.g. “number</w:t>
      </w:r>
      <w:r w:rsidR="008E278A" w:rsidRPr="004572F0">
        <w:t xml:space="preserve"> regularly scheduled meetings conducted</w:t>
      </w:r>
      <w:r w:rsidR="008E278A">
        <w:t>” (undertaking activities) and “percentage</w:t>
      </w:r>
      <w:r w:rsidR="008E278A" w:rsidRPr="004572F0">
        <w:t xml:space="preserve"> pre-ART patients</w:t>
      </w:r>
      <w:r w:rsidR="00FB2A95">
        <w:t xml:space="preserve"> lost to follow</w:t>
      </w:r>
      <w:r w:rsidR="00733917">
        <w:t>-</w:t>
      </w:r>
      <w:r w:rsidR="00FB2A95">
        <w:t>up (</w:t>
      </w:r>
      <w:r w:rsidR="008E278A" w:rsidRPr="004572F0">
        <w:t>LTFU</w:t>
      </w:r>
      <w:r w:rsidR="00FB2A95">
        <w:t>)</w:t>
      </w:r>
      <w:r w:rsidR="008E278A" w:rsidRPr="004572F0">
        <w:t xml:space="preserve"> after P</w:t>
      </w:r>
      <w:r w:rsidR="008E278A">
        <w:t>O</w:t>
      </w:r>
      <w:r w:rsidR="008E278A" w:rsidRPr="004572F0">
        <w:t>C CD4 testing confirmed treatment eligibility</w:t>
      </w:r>
      <w:r w:rsidR="008E278A">
        <w:t xml:space="preserve"> (an output based on activi</w:t>
      </w:r>
      <w:r w:rsidR="00F16408">
        <w:t>ti</w:t>
      </w:r>
      <w:r w:rsidR="008E278A">
        <w:t>es</w:t>
      </w:r>
      <w:r>
        <w:t xml:space="preserve">); </w:t>
      </w:r>
    </w:p>
    <w:p w14:paraId="56BF4F51" w14:textId="77777777" w:rsidR="00811139" w:rsidRDefault="00BC145E" w:rsidP="00846486">
      <w:pPr>
        <w:pStyle w:val="CEPABullets"/>
        <w:numPr>
          <w:ilvl w:val="1"/>
          <w:numId w:val="19"/>
        </w:numPr>
      </w:pPr>
      <w:r>
        <w:t>t</w:t>
      </w:r>
      <w:r w:rsidR="008E278A">
        <w:t>here were a number of indicators that MSF w</w:t>
      </w:r>
      <w:r w:rsidR="002D585C">
        <w:t>as</w:t>
      </w:r>
      <w:r w:rsidR="008E278A">
        <w:t xml:space="preserve"> not able to fully impact such as "n</w:t>
      </w:r>
      <w:r w:rsidR="008E278A" w:rsidRPr="00B73632">
        <w:t>ew quality-assured, resource-adapted products available for implementation in MSF-type settings</w:t>
      </w:r>
      <w:r w:rsidR="008E278A">
        <w:t>”</w:t>
      </w:r>
      <w:r>
        <w:t xml:space="preserve">; </w:t>
      </w:r>
    </w:p>
    <w:p w14:paraId="050228D1" w14:textId="77777777" w:rsidR="00811139" w:rsidRDefault="00BC145E" w:rsidP="00846486">
      <w:pPr>
        <w:pStyle w:val="CEPABullets"/>
        <w:numPr>
          <w:ilvl w:val="1"/>
          <w:numId w:val="19"/>
        </w:numPr>
      </w:pPr>
      <w:r>
        <w:t>t</w:t>
      </w:r>
      <w:r w:rsidR="008E278A">
        <w:t>here were no indicators to track policy update</w:t>
      </w:r>
      <w:r w:rsidR="00F16408">
        <w:t>, a key measure of success for the grant</w:t>
      </w:r>
    </w:p>
    <w:p w14:paraId="0460F476" w14:textId="1EF6A818" w:rsidR="008E278A" w:rsidRDefault="00BC145E" w:rsidP="00846486">
      <w:pPr>
        <w:pStyle w:val="CEPABullets"/>
        <w:numPr>
          <w:ilvl w:val="1"/>
          <w:numId w:val="19"/>
        </w:numPr>
      </w:pPr>
      <w:r>
        <w:t>t</w:t>
      </w:r>
      <w:r w:rsidR="008E278A">
        <w:t>he tracking of donor or government support was weak with indicators such as ‘percentage of national funding available annually for each country” and “% international funding available annually for each country”</w:t>
      </w:r>
      <w:r w:rsidR="00A01EB9">
        <w:t xml:space="preserve">, rather than a tracking of whether the project activities were included </w:t>
      </w:r>
      <w:r w:rsidR="008E278A">
        <w:t xml:space="preserve">in Global Fund and PEPFAR grants, etc. </w:t>
      </w:r>
      <w:r w:rsidR="00A01EB9">
        <w:t xml:space="preserve">post project close, </w:t>
      </w:r>
      <w:r w:rsidR="008E278A">
        <w:t xml:space="preserve">which are more in line with the results of this project. </w:t>
      </w:r>
    </w:p>
    <w:p w14:paraId="66F9BA8E" w14:textId="4FA2E8FD" w:rsidR="00491A46" w:rsidRDefault="00811139" w:rsidP="008E278A">
      <w:pPr>
        <w:pStyle w:val="Heading3"/>
      </w:pPr>
      <w:r>
        <w:t xml:space="preserve">Approach to measuring risks </w:t>
      </w:r>
    </w:p>
    <w:p w14:paraId="39882F6A" w14:textId="3AA62C73" w:rsidR="00AF58EF" w:rsidRDefault="00AF58EF" w:rsidP="00491A46">
      <w:pPr>
        <w:pStyle w:val="CEPAReportText"/>
      </w:pPr>
      <w:r>
        <w:t>An initial risk matrix was developed with the project plan which identifies a number of key risks such as lack of uptake by government, challenges with product availability, etc.</w:t>
      </w:r>
      <w:r w:rsidR="000461B9">
        <w:t>, although there is no update in terms of review and management of evolving risks overtime</w:t>
      </w:r>
      <w:r w:rsidR="002D094C">
        <w:t xml:space="preserve"> (at least not been made available for this evaluation)</w:t>
      </w:r>
      <w:r w:rsidR="000461B9">
        <w:t xml:space="preserve">. </w:t>
      </w:r>
    </w:p>
    <w:p w14:paraId="7C259D50" w14:textId="4A1A9762" w:rsidR="00491A46" w:rsidRDefault="00491A46" w:rsidP="00491A46">
      <w:pPr>
        <w:pStyle w:val="CEPAReportText"/>
      </w:pPr>
      <w:r>
        <w:t xml:space="preserve">A </w:t>
      </w:r>
      <w:r w:rsidR="00F16408">
        <w:t>Unitaid</w:t>
      </w:r>
      <w:r>
        <w:t xml:space="preserve"> risk matrix for the project shared with us presents the following risks:</w:t>
      </w:r>
      <w:r w:rsidR="00BC145E">
        <w:t xml:space="preserve"> </w:t>
      </w:r>
      <w:r>
        <w:t>research not being completed in time (high)</w:t>
      </w:r>
      <w:r w:rsidR="00BC145E">
        <w:t xml:space="preserve">; </w:t>
      </w:r>
      <w:r>
        <w:t>dissemination not being optimal (medium)</w:t>
      </w:r>
      <w:r w:rsidR="00BC145E">
        <w:t xml:space="preserve">; </w:t>
      </w:r>
      <w:r>
        <w:t>inadequate service provision when sites are handed over the government (medium)</w:t>
      </w:r>
      <w:r w:rsidR="00BC145E">
        <w:t xml:space="preserve">; </w:t>
      </w:r>
      <w:r>
        <w:t>waste management issues (high)</w:t>
      </w:r>
      <w:r w:rsidR="00BC145E">
        <w:t xml:space="preserve">; and transition issues (medium). </w:t>
      </w:r>
      <w:r w:rsidR="00F16408">
        <w:t xml:space="preserve">We understand that this was developed towards the end of the grant and hence focuses more on sustainability as compared to other issues. While the </w:t>
      </w:r>
      <w:r>
        <w:t xml:space="preserve">latter three </w:t>
      </w:r>
      <w:r w:rsidR="00F16408">
        <w:t xml:space="preserve">risks </w:t>
      </w:r>
      <w:r>
        <w:t xml:space="preserve">are </w:t>
      </w:r>
      <w:r w:rsidR="002D585C">
        <w:t>relevant</w:t>
      </w:r>
      <w:r>
        <w:t xml:space="preserve"> issues</w:t>
      </w:r>
      <w:r w:rsidR="00F16408">
        <w:t>, we</w:t>
      </w:r>
      <w:r>
        <w:t xml:space="preserve"> view the first two risks as being very simply defined i.e. the risk is essentially stated a</w:t>
      </w:r>
      <w:r w:rsidR="002D585C">
        <w:t>s</w:t>
      </w:r>
      <w:r>
        <w:t xml:space="preserve"> the planned work not being completed. We assess that a more strategic approach to assessing these risks e.g. considering planned technologies for certain sites and implications of their delays on a case by case basis would be more effective. </w:t>
      </w:r>
    </w:p>
    <w:p w14:paraId="4A11007F" w14:textId="636949AE" w:rsidR="00491A46" w:rsidRDefault="002D094C" w:rsidP="00491A46">
      <w:pPr>
        <w:pStyle w:val="CEPAReportText"/>
      </w:pPr>
      <w:r>
        <w:rPr>
          <w:lang w:val="en-US"/>
        </w:rPr>
        <w:t xml:space="preserve">As such, to </w:t>
      </w:r>
      <w:r w:rsidRPr="005D5C21">
        <w:rPr>
          <w:lang w:val="en-US"/>
        </w:rPr>
        <w:t>the extent that we have been made aware, formal risk management processes were not adopted until the end of the project by Unitaid, which may have detracted from engaged risk management</w:t>
      </w:r>
      <w:r>
        <w:rPr>
          <w:lang w:val="en-US"/>
        </w:rPr>
        <w:t>. We note however that t</w:t>
      </w:r>
      <w:r w:rsidR="00F16408">
        <w:t xml:space="preserve">his was an ambitious project with several risks such as changing WHO guidelines, availability (including timeliness) of technologies, </w:t>
      </w:r>
      <w:r w:rsidR="00E73D8E">
        <w:t xml:space="preserve">effective </w:t>
      </w:r>
      <w:r w:rsidR="00F16408">
        <w:t xml:space="preserve">demand creation within countries, effective coordination with country systems in terms of linkage with the supply chain and treatment cascade, </w:t>
      </w:r>
      <w:r w:rsidR="00E73D8E">
        <w:t>adequate coordination amongst MSF implementing offices and other partners, as well as</w:t>
      </w:r>
      <w:r w:rsidR="00491A46">
        <w:t xml:space="preserve"> in relation to the expected impact of the project such as </w:t>
      </w:r>
      <w:r w:rsidR="00E73D8E">
        <w:t xml:space="preserve">demonstrated </w:t>
      </w:r>
      <w:r w:rsidR="00491A46">
        <w:t>feasibility of the models being employed</w:t>
      </w:r>
      <w:r w:rsidR="00E73D8E">
        <w:t xml:space="preserve"> (i.e. they could have been proven infeasible)</w:t>
      </w:r>
      <w:r w:rsidR="00491A46">
        <w:t xml:space="preserve">, poor switch rates to </w:t>
      </w:r>
      <w:r w:rsidR="00093AAF">
        <w:t>second-line treatment</w:t>
      </w:r>
      <w:r w:rsidR="00491A46">
        <w:t xml:space="preserve">, etc. </w:t>
      </w:r>
      <w:r w:rsidR="00E73D8E">
        <w:t xml:space="preserve">MSF has nimbly adapted to a number of these risks during the course of project implementation (e.g. changing focus away from CD4 with the new guidelines, constantly revising country plans based on feasibility and availability of technologies, etc.), and as such can conclude that MSF has responded to risks well. </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808080" w:themeFill="background1" w:themeFillShade="80"/>
        <w:tblLook w:val="04A0" w:firstRow="1" w:lastRow="0" w:firstColumn="1" w:lastColumn="0" w:noHBand="0" w:noVBand="1"/>
      </w:tblPr>
      <w:tblGrid>
        <w:gridCol w:w="9016"/>
      </w:tblGrid>
      <w:tr w:rsidR="008E278A" w:rsidRPr="00811139" w14:paraId="30BCB3AB" w14:textId="77777777" w:rsidTr="008E278A">
        <w:trPr>
          <w:trHeight w:val="400"/>
          <w:tblHeader/>
        </w:trPr>
        <w:tc>
          <w:tcPr>
            <w:tcW w:w="5000" w:type="pct"/>
            <w:shd w:val="clear" w:color="auto" w:fill="7EA8DC" w:themeFill="text1" w:themeFillTint="80"/>
          </w:tcPr>
          <w:p w14:paraId="50E2CC65" w14:textId="77777777" w:rsidR="008E278A" w:rsidRPr="00811139" w:rsidRDefault="008E278A" w:rsidP="001C5AB4">
            <w:pPr>
              <w:pStyle w:val="CEPATabletext"/>
              <w:rPr>
                <w:b/>
                <w:color w:val="FFFFFF"/>
                <w:sz w:val="24"/>
              </w:rPr>
            </w:pPr>
            <w:r w:rsidRPr="00811139">
              <w:rPr>
                <w:b/>
                <w:color w:val="FFFFFF"/>
                <w:sz w:val="24"/>
              </w:rPr>
              <w:t>Summary findings:</w:t>
            </w:r>
          </w:p>
          <w:p w14:paraId="1841D608" w14:textId="71AF3CBF" w:rsidR="008E278A" w:rsidRPr="00811139" w:rsidRDefault="007F4B74" w:rsidP="002D094C">
            <w:pPr>
              <w:pStyle w:val="CEPATabletext"/>
              <w:rPr>
                <w:color w:val="FFFFFF"/>
                <w:sz w:val="24"/>
              </w:rPr>
            </w:pPr>
            <w:r w:rsidRPr="00811139">
              <w:rPr>
                <w:color w:val="FFFFFF"/>
                <w:sz w:val="24"/>
              </w:rPr>
              <w:t xml:space="preserve">The MSF project was an ambitious project, </w:t>
            </w:r>
            <w:r w:rsidR="006D14F7">
              <w:rPr>
                <w:color w:val="FFFFFF"/>
                <w:sz w:val="24"/>
              </w:rPr>
              <w:t xml:space="preserve">being implemented in resource-poor settings, and </w:t>
            </w:r>
            <w:r w:rsidRPr="00811139">
              <w:rPr>
                <w:color w:val="FFFFFF"/>
                <w:sz w:val="24"/>
              </w:rPr>
              <w:t xml:space="preserve">with several uncertainties relating to </w:t>
            </w:r>
            <w:r w:rsidR="006D14F7">
              <w:rPr>
                <w:color w:val="FFFFFF"/>
                <w:sz w:val="24"/>
              </w:rPr>
              <w:t>pipeline product availability</w:t>
            </w:r>
            <w:r w:rsidRPr="00811139">
              <w:rPr>
                <w:color w:val="FFFFFF"/>
                <w:sz w:val="24"/>
              </w:rPr>
              <w:t xml:space="preserve"> alongside evolving WHO guidelines. This has resulted in some variances in planned versus actual project expenditures</w:t>
            </w:r>
            <w:r w:rsidR="006D14F7">
              <w:rPr>
                <w:color w:val="FFFFFF"/>
                <w:sz w:val="24"/>
              </w:rPr>
              <w:t>, country work plans</w:t>
            </w:r>
            <w:r w:rsidRPr="00811139">
              <w:rPr>
                <w:color w:val="FFFFFF"/>
                <w:sz w:val="24"/>
              </w:rPr>
              <w:t xml:space="preserve"> as well as created challenges in effective monitoring (which was also impeded by poor M&amp;E design). The project has generally been well managed, although there was room for improvement in terms of information sharing </w:t>
            </w:r>
            <w:r w:rsidR="00A100DE">
              <w:rPr>
                <w:color w:val="FFFFFF"/>
                <w:sz w:val="24"/>
              </w:rPr>
              <w:t xml:space="preserve">within MSF </w:t>
            </w:r>
            <w:r w:rsidRPr="00811139">
              <w:rPr>
                <w:color w:val="FFFFFF"/>
                <w:sz w:val="24"/>
              </w:rPr>
              <w:t>and</w:t>
            </w:r>
            <w:r w:rsidR="00812D27">
              <w:rPr>
                <w:color w:val="FFFFFF"/>
                <w:sz w:val="24"/>
              </w:rPr>
              <w:t xml:space="preserve"> in some instances,</w:t>
            </w:r>
            <w:r w:rsidRPr="00811139">
              <w:rPr>
                <w:color w:val="FFFFFF"/>
                <w:sz w:val="24"/>
              </w:rPr>
              <w:t xml:space="preserve"> synchrony in approaches</w:t>
            </w:r>
            <w:r w:rsidR="008B5686">
              <w:rPr>
                <w:color w:val="FFFFFF"/>
                <w:sz w:val="24"/>
              </w:rPr>
              <w:t xml:space="preserve"> between different MSF units</w:t>
            </w:r>
            <w:r w:rsidRPr="00811139">
              <w:rPr>
                <w:color w:val="FFFFFF"/>
                <w:sz w:val="24"/>
              </w:rPr>
              <w:t xml:space="preserve">. Key risks appear to have been dealt with nimbly, but not managed in a formalized manner until the end of the project. An avoidable delay was with regards to the country MOU requirement, which has since been </w:t>
            </w:r>
            <w:r w:rsidR="006D14F7">
              <w:rPr>
                <w:color w:val="FFFFFF"/>
                <w:sz w:val="24"/>
              </w:rPr>
              <w:t>removed</w:t>
            </w:r>
            <w:r w:rsidRPr="00811139">
              <w:rPr>
                <w:color w:val="FFFFFF"/>
                <w:sz w:val="24"/>
              </w:rPr>
              <w:t xml:space="preserve"> for Unitaid projects.</w:t>
            </w:r>
          </w:p>
        </w:tc>
      </w:tr>
    </w:tbl>
    <w:p w14:paraId="4AACF293" w14:textId="10EAEB25" w:rsidR="00BC1E38" w:rsidRDefault="00A72586" w:rsidP="008E278A">
      <w:pPr>
        <w:pStyle w:val="Heading2"/>
      </w:pPr>
      <w:bookmarkStart w:id="312" w:name="_Toc500179383"/>
      <w:bookmarkStart w:id="313" w:name="_Toc500182462"/>
      <w:bookmarkStart w:id="314" w:name="_Toc500445650"/>
      <w:bookmarkStart w:id="315" w:name="_Toc500503128"/>
      <w:bookmarkStart w:id="316" w:name="_Toc500508111"/>
      <w:bookmarkStart w:id="317" w:name="_Toc500512839"/>
      <w:bookmarkStart w:id="318" w:name="_Toc500517765"/>
      <w:bookmarkStart w:id="319" w:name="_Toc500519580"/>
      <w:bookmarkStart w:id="320" w:name="_Toc500524427"/>
      <w:bookmarkStart w:id="321" w:name="_Toc506417399"/>
      <w:bookmarkStart w:id="322" w:name="_Toc515359223"/>
      <w:r>
        <w:t>D</w:t>
      </w:r>
      <w:r w:rsidR="00BC1E38">
        <w:t xml:space="preserve">elivery of planned activities and </w:t>
      </w:r>
      <w:bookmarkEnd w:id="292"/>
      <w:bookmarkEnd w:id="293"/>
      <w:bookmarkEnd w:id="294"/>
      <w:bookmarkEnd w:id="295"/>
      <w:bookmarkEnd w:id="312"/>
      <w:bookmarkEnd w:id="313"/>
      <w:r w:rsidR="003A3E88">
        <w:t>related targets</w:t>
      </w:r>
      <w:bookmarkEnd w:id="314"/>
      <w:bookmarkEnd w:id="315"/>
      <w:bookmarkEnd w:id="316"/>
      <w:bookmarkEnd w:id="317"/>
      <w:bookmarkEnd w:id="318"/>
      <w:bookmarkEnd w:id="319"/>
      <w:bookmarkEnd w:id="320"/>
      <w:bookmarkEnd w:id="321"/>
      <w:bookmarkEnd w:id="322"/>
      <w:r w:rsidR="003A3E88">
        <w:t xml:space="preserve"> </w:t>
      </w:r>
      <w:r w:rsidR="00BC1E38">
        <w:t xml:space="preserve"> </w:t>
      </w:r>
    </w:p>
    <w:p w14:paraId="58FEEB3E" w14:textId="452778A6" w:rsidR="00573B0E" w:rsidRDefault="008B5686" w:rsidP="00D37124">
      <w:pPr>
        <w:pStyle w:val="CEPAReportText"/>
      </w:pPr>
      <w:r>
        <w:t>This section provides</w:t>
      </w:r>
      <w:r w:rsidR="00D37124">
        <w:t xml:space="preserve"> an assessment of the extent of delivery of planned activities and </w:t>
      </w:r>
      <w:r w:rsidR="003A3E88">
        <w:t>targets</w:t>
      </w:r>
      <w:r w:rsidR="00D37124">
        <w:t xml:space="preserve">, </w:t>
      </w:r>
      <w:r w:rsidR="00BC145E">
        <w:t>as set out in</w:t>
      </w:r>
      <w:r w:rsidR="00D37124">
        <w:t xml:space="preserve"> the project plan and logframe</w:t>
      </w:r>
      <w:r>
        <w:t>, noting that these have evolved over time with the changing circumstances for the project</w:t>
      </w:r>
      <w:r w:rsidR="00D37124">
        <w:t xml:space="preserve">. The evaluation question is as follows: </w:t>
      </w:r>
      <w:r w:rsidR="00573B0E">
        <w:t xml:space="preserve"> </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573B0E" w:rsidRPr="00B943ED" w14:paraId="07791B50" w14:textId="77777777" w:rsidTr="003E0108">
        <w:trPr>
          <w:trHeight w:val="503"/>
          <w:tblHeader/>
        </w:trPr>
        <w:tc>
          <w:tcPr>
            <w:tcW w:w="5000" w:type="pct"/>
            <w:shd w:val="solid" w:color="4B86CD" w:fill="auto"/>
          </w:tcPr>
          <w:p w14:paraId="205F6A2E" w14:textId="433D89B4" w:rsidR="00573B0E" w:rsidRPr="00573B0E" w:rsidRDefault="00573B0E" w:rsidP="00846486">
            <w:pPr>
              <w:pStyle w:val="CEPATabletext"/>
              <w:numPr>
                <w:ilvl w:val="0"/>
                <w:numId w:val="9"/>
              </w:numPr>
              <w:rPr>
                <w:b/>
                <w:color w:val="FFFFFF"/>
                <w:sz w:val="24"/>
              </w:rPr>
            </w:pPr>
            <w:r w:rsidRPr="00573B0E">
              <w:rPr>
                <w:b/>
                <w:color w:val="FFFFFF"/>
                <w:sz w:val="24"/>
              </w:rPr>
              <w:t xml:space="preserve">Were planned activities completed and outputs/ results achieved? </w:t>
            </w:r>
          </w:p>
        </w:tc>
      </w:tr>
    </w:tbl>
    <w:p w14:paraId="6191A360" w14:textId="77777777" w:rsidR="002D094C" w:rsidRDefault="002D094C" w:rsidP="004124E0">
      <w:pPr>
        <w:pStyle w:val="CEPAReportText"/>
      </w:pPr>
      <w:r>
        <w:t xml:space="preserve">We </w:t>
      </w:r>
      <w:r w:rsidR="008B5686">
        <w:t>focus</w:t>
      </w:r>
      <w:r w:rsidR="00BC145E">
        <w:t xml:space="preserve"> on a “top-level/ global” grant picture rather than country details, which is the subject of the next section. The focus is also on activity delivery, rather than assessment of results which is covered under Section 4.</w:t>
      </w:r>
    </w:p>
    <w:p w14:paraId="3A1B38F1" w14:textId="36537958" w:rsidR="00F863CA" w:rsidRDefault="002F2BE8" w:rsidP="004124E0">
      <w:pPr>
        <w:pStyle w:val="CEPAReportText"/>
      </w:pPr>
      <w:r>
        <w:t>Specifically, w</w:t>
      </w:r>
      <w:r w:rsidR="004124E0">
        <w:t>e review: (i) the overall planned versus actual procurement</w:t>
      </w:r>
      <w:r w:rsidR="000E7326">
        <w:t xml:space="preserve"> and related testing for POC CD4, laboratory and POC </w:t>
      </w:r>
      <w:r w:rsidR="008E278A">
        <w:t>VL</w:t>
      </w:r>
      <w:r w:rsidR="000E7326">
        <w:t xml:space="preserve"> and EID</w:t>
      </w:r>
      <w:r w:rsidR="00F863CA">
        <w:t xml:space="preserve">; and </w:t>
      </w:r>
      <w:r w:rsidR="004124E0">
        <w:t>(ii) s</w:t>
      </w:r>
      <w:r w:rsidR="000E7326">
        <w:t xml:space="preserve">upporting operational research and advocacy </w:t>
      </w:r>
      <w:r w:rsidR="00F863CA">
        <w:t>work.</w:t>
      </w:r>
      <w:r w:rsidR="002D094C">
        <w:t xml:space="preserve"> Note that for (i) there are logframe targets to review project performance </w:t>
      </w:r>
      <w:r w:rsidR="001049D8">
        <w:t xml:space="preserve">(although revised a number of times), </w:t>
      </w:r>
      <w:r w:rsidR="002D094C">
        <w:t xml:space="preserve">but for (ii) there are no benchmarks/ suggested performance and so our conclusions have been based on consultation feedback, which have, for the most part, provided more generic responses to the performance in the area. </w:t>
      </w:r>
    </w:p>
    <w:p w14:paraId="570363D1" w14:textId="15F6EF86" w:rsidR="00F863CA" w:rsidRDefault="00F863CA" w:rsidP="008E278A">
      <w:pPr>
        <w:pStyle w:val="Heading3"/>
      </w:pPr>
      <w:r>
        <w:t xml:space="preserve">Procurement and related testing for POC CD4, laboratory and POC </w:t>
      </w:r>
      <w:r w:rsidR="007B10C8">
        <w:t>VL</w:t>
      </w:r>
      <w:r>
        <w:t xml:space="preserve"> and EID</w:t>
      </w:r>
    </w:p>
    <w:p w14:paraId="77F60504" w14:textId="3A004157" w:rsidR="00A37655" w:rsidRDefault="004124E0" w:rsidP="00D4159D">
      <w:pPr>
        <w:pStyle w:val="CEPAReportText"/>
      </w:pPr>
      <w:r>
        <w:t>As noted above, pipeline delays and revisions to country programmes implied a change from plan to actual procurement of devices</w:t>
      </w:r>
      <w:r w:rsidR="002F2BE8">
        <w:t xml:space="preserve"> and tests</w:t>
      </w:r>
      <w:r>
        <w:t xml:space="preserve">. </w:t>
      </w:r>
      <w:r w:rsidR="00A37655">
        <w:t xml:space="preserve">Table </w:t>
      </w:r>
      <w:r w:rsidR="006E2513">
        <w:t>3</w:t>
      </w:r>
      <w:r w:rsidR="003A3E88">
        <w:t>.</w:t>
      </w:r>
      <w:r w:rsidR="005B0F3F">
        <w:t>3</w:t>
      </w:r>
      <w:r w:rsidR="00A37655">
        <w:t xml:space="preserve"> provides details on the planned versus actual device procurement.</w:t>
      </w:r>
      <w:r w:rsidR="002F2BE8">
        <w:t xml:space="preserve"> </w:t>
      </w:r>
    </w:p>
    <w:p w14:paraId="1464BC1F" w14:textId="0AD74BC3" w:rsidR="00A37655" w:rsidRPr="00875E47" w:rsidRDefault="00A37655" w:rsidP="00A37655">
      <w:pPr>
        <w:pStyle w:val="CEPADiagramLabel"/>
      </w:pPr>
      <w:r>
        <w:t xml:space="preserve">Table </w:t>
      </w:r>
      <w:r w:rsidR="006E2513">
        <w:t>3</w:t>
      </w:r>
      <w:r w:rsidR="003A3E88">
        <w:t>.</w:t>
      </w:r>
      <w:r w:rsidR="005B0F3F">
        <w:t>3</w:t>
      </w:r>
      <w:r>
        <w:t xml:space="preserve">: Planned </w:t>
      </w:r>
      <w:r w:rsidR="001A1056">
        <w:t xml:space="preserve">and </w:t>
      </w:r>
      <w:r w:rsidR="00895778">
        <w:t>a</w:t>
      </w:r>
      <w:r w:rsidR="001A1056">
        <w:t>ctual</w:t>
      </w:r>
      <w:r>
        <w:t xml:space="preserve"> </w:t>
      </w:r>
      <w:r w:rsidR="00895778">
        <w:t>p</w:t>
      </w:r>
      <w:r>
        <w:t>rocurement</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86"/>
        <w:gridCol w:w="2011"/>
        <w:gridCol w:w="1320"/>
        <w:gridCol w:w="1401"/>
        <w:gridCol w:w="1401"/>
        <w:gridCol w:w="1397"/>
      </w:tblGrid>
      <w:tr w:rsidR="008E278A" w14:paraId="6DDBA3F1" w14:textId="77777777" w:rsidTr="00133A7A">
        <w:trPr>
          <w:tblHeader/>
        </w:trPr>
        <w:tc>
          <w:tcPr>
            <w:tcW w:w="824" w:type="pct"/>
            <w:shd w:val="solid" w:color="4B86CD" w:fill="auto"/>
          </w:tcPr>
          <w:p w14:paraId="72A65AC4" w14:textId="77777777" w:rsidR="008E278A" w:rsidRPr="00875E47" w:rsidRDefault="008E278A" w:rsidP="008E278A">
            <w:pPr>
              <w:pStyle w:val="CEPATabletext"/>
              <w:rPr>
                <w:b/>
                <w:color w:val="FFFFFF"/>
              </w:rPr>
            </w:pPr>
            <w:r>
              <w:rPr>
                <w:b/>
                <w:color w:val="FFFFFF"/>
              </w:rPr>
              <w:t>Manufacturer</w:t>
            </w:r>
          </w:p>
        </w:tc>
        <w:tc>
          <w:tcPr>
            <w:tcW w:w="1115" w:type="pct"/>
            <w:shd w:val="solid" w:color="4B86CD" w:fill="auto"/>
          </w:tcPr>
          <w:p w14:paraId="72F4F947" w14:textId="77777777" w:rsidR="008E278A" w:rsidRPr="00875E47" w:rsidRDefault="008E278A" w:rsidP="008E278A">
            <w:pPr>
              <w:pStyle w:val="CEPATabletext"/>
              <w:rPr>
                <w:b/>
                <w:color w:val="FFFFFF"/>
              </w:rPr>
            </w:pPr>
            <w:r>
              <w:rPr>
                <w:b/>
                <w:color w:val="FFFFFF"/>
              </w:rPr>
              <w:t>Device Name</w:t>
            </w:r>
          </w:p>
        </w:tc>
        <w:tc>
          <w:tcPr>
            <w:tcW w:w="732" w:type="pct"/>
            <w:shd w:val="solid" w:color="4B86CD" w:fill="auto"/>
          </w:tcPr>
          <w:p w14:paraId="3B0BFE2C" w14:textId="77777777" w:rsidR="008E278A" w:rsidRPr="00875E47" w:rsidRDefault="008E278A" w:rsidP="008E278A">
            <w:pPr>
              <w:pStyle w:val="CEPATabletext"/>
              <w:rPr>
                <w:b/>
                <w:color w:val="FFFFFF"/>
              </w:rPr>
            </w:pPr>
            <w:r>
              <w:rPr>
                <w:b/>
                <w:color w:val="FFFFFF"/>
              </w:rPr>
              <w:t>Type</w:t>
            </w:r>
          </w:p>
        </w:tc>
        <w:tc>
          <w:tcPr>
            <w:tcW w:w="777" w:type="pct"/>
            <w:shd w:val="solid" w:color="4B86CD" w:fill="auto"/>
          </w:tcPr>
          <w:p w14:paraId="5622AEAE" w14:textId="77777777" w:rsidR="008E278A" w:rsidRDefault="008E278A" w:rsidP="008E278A">
            <w:pPr>
              <w:pStyle w:val="CEPATabletext"/>
              <w:rPr>
                <w:b/>
                <w:color w:val="FFFFFF"/>
              </w:rPr>
            </w:pPr>
            <w:r>
              <w:rPr>
                <w:b/>
                <w:color w:val="FFFFFF"/>
              </w:rPr>
              <w:t># Devices Planned</w:t>
            </w:r>
          </w:p>
        </w:tc>
        <w:tc>
          <w:tcPr>
            <w:tcW w:w="777" w:type="pct"/>
            <w:shd w:val="solid" w:color="4B86CD" w:fill="auto"/>
          </w:tcPr>
          <w:p w14:paraId="0B943B1B" w14:textId="77777777" w:rsidR="008E278A" w:rsidRPr="00875E47" w:rsidRDefault="008E278A" w:rsidP="008E278A">
            <w:pPr>
              <w:pStyle w:val="CEPATabletext"/>
              <w:rPr>
                <w:b/>
                <w:color w:val="FFFFFF"/>
              </w:rPr>
            </w:pPr>
            <w:r>
              <w:rPr>
                <w:b/>
                <w:color w:val="FFFFFF"/>
              </w:rPr>
              <w:t># Devices Purchased</w:t>
            </w:r>
          </w:p>
        </w:tc>
        <w:tc>
          <w:tcPr>
            <w:tcW w:w="776" w:type="pct"/>
            <w:shd w:val="solid" w:color="4B86CD" w:fill="auto"/>
          </w:tcPr>
          <w:p w14:paraId="50AC31E1" w14:textId="77777777" w:rsidR="008E278A" w:rsidRDefault="008E278A" w:rsidP="008E278A">
            <w:pPr>
              <w:pStyle w:val="CEPATabletext"/>
              <w:rPr>
                <w:b/>
                <w:color w:val="FFFFFF"/>
              </w:rPr>
            </w:pPr>
            <w:r>
              <w:rPr>
                <w:b/>
                <w:color w:val="FFFFFF"/>
              </w:rPr>
              <w:t># Tests</w:t>
            </w:r>
          </w:p>
          <w:p w14:paraId="790271FB" w14:textId="3E05D6B2" w:rsidR="008E278A" w:rsidRDefault="008E278A" w:rsidP="008E278A">
            <w:pPr>
              <w:pStyle w:val="CEPATabletext"/>
              <w:rPr>
                <w:b/>
                <w:color w:val="FFFFFF"/>
              </w:rPr>
            </w:pPr>
            <w:r>
              <w:rPr>
                <w:b/>
                <w:color w:val="FFFFFF"/>
              </w:rPr>
              <w:t>Planned</w:t>
            </w:r>
            <w:r w:rsidR="009E6A21">
              <w:rPr>
                <w:rStyle w:val="FootnoteReference"/>
                <w:b/>
                <w:color w:val="FFFFFF"/>
              </w:rPr>
              <w:footnoteReference w:id="38"/>
            </w:r>
          </w:p>
        </w:tc>
      </w:tr>
      <w:tr w:rsidR="008E278A" w14:paraId="2D870A18" w14:textId="77777777" w:rsidTr="00133A7A">
        <w:tc>
          <w:tcPr>
            <w:tcW w:w="824" w:type="pct"/>
          </w:tcPr>
          <w:p w14:paraId="1E2D34D6" w14:textId="7B480377" w:rsidR="008E278A" w:rsidRDefault="008E278A" w:rsidP="008E278A">
            <w:pPr>
              <w:pStyle w:val="CEPATabletext"/>
            </w:pPr>
            <w:r>
              <w:t>BioMerieux</w:t>
            </w:r>
          </w:p>
        </w:tc>
        <w:tc>
          <w:tcPr>
            <w:tcW w:w="1115" w:type="pct"/>
          </w:tcPr>
          <w:p w14:paraId="4750B8F4" w14:textId="77777777" w:rsidR="008E278A" w:rsidRDefault="008E278A" w:rsidP="008E278A">
            <w:pPr>
              <w:pStyle w:val="CEPATabletext"/>
            </w:pPr>
            <w:r>
              <w:t>NucliSENS</w:t>
            </w:r>
          </w:p>
        </w:tc>
        <w:tc>
          <w:tcPr>
            <w:tcW w:w="732" w:type="pct"/>
          </w:tcPr>
          <w:p w14:paraId="7ED43FDB" w14:textId="77777777" w:rsidR="008E278A" w:rsidRDefault="008E278A" w:rsidP="008E278A">
            <w:pPr>
              <w:pStyle w:val="CEPATabletext"/>
            </w:pPr>
            <w:r>
              <w:t>Lab-based VL</w:t>
            </w:r>
          </w:p>
        </w:tc>
        <w:tc>
          <w:tcPr>
            <w:tcW w:w="777" w:type="pct"/>
          </w:tcPr>
          <w:p w14:paraId="2FA29EE2" w14:textId="77777777" w:rsidR="008E278A" w:rsidRDefault="008E278A" w:rsidP="008E278A">
            <w:pPr>
              <w:pStyle w:val="CEPATabletext"/>
            </w:pPr>
            <w:r>
              <w:t>5</w:t>
            </w:r>
          </w:p>
        </w:tc>
        <w:tc>
          <w:tcPr>
            <w:tcW w:w="777" w:type="pct"/>
          </w:tcPr>
          <w:p w14:paraId="0CB6145A" w14:textId="77777777" w:rsidR="008E278A" w:rsidRDefault="008E278A" w:rsidP="008E278A">
            <w:pPr>
              <w:pStyle w:val="CEPATabletext"/>
            </w:pPr>
            <w:r>
              <w:t>7</w:t>
            </w:r>
          </w:p>
        </w:tc>
        <w:tc>
          <w:tcPr>
            <w:tcW w:w="776" w:type="pct"/>
          </w:tcPr>
          <w:p w14:paraId="403788C7" w14:textId="77777777" w:rsidR="008E278A" w:rsidRDefault="008E278A" w:rsidP="008E278A">
            <w:pPr>
              <w:pStyle w:val="CEPATabletext"/>
            </w:pPr>
            <w:r>
              <w:t>302,500</w:t>
            </w:r>
          </w:p>
        </w:tc>
      </w:tr>
      <w:tr w:rsidR="008E278A" w14:paraId="7E06CE7F" w14:textId="77777777" w:rsidTr="00133A7A">
        <w:tc>
          <w:tcPr>
            <w:tcW w:w="824" w:type="pct"/>
          </w:tcPr>
          <w:p w14:paraId="309AFF5B" w14:textId="3D4FA7D2" w:rsidR="008E278A" w:rsidRDefault="008E278A" w:rsidP="008E278A">
            <w:pPr>
              <w:pStyle w:val="CEPATabletext"/>
            </w:pPr>
            <w:r>
              <w:t>Bio</w:t>
            </w:r>
            <w:r w:rsidR="004D0E48">
              <w:t>c</w:t>
            </w:r>
            <w:r>
              <w:t>entric</w:t>
            </w:r>
          </w:p>
        </w:tc>
        <w:tc>
          <w:tcPr>
            <w:tcW w:w="1115" w:type="pct"/>
          </w:tcPr>
          <w:p w14:paraId="45430838" w14:textId="77777777" w:rsidR="008E278A" w:rsidRDefault="008E278A" w:rsidP="008E278A">
            <w:pPr>
              <w:pStyle w:val="CEPATabletext"/>
            </w:pPr>
            <w:r>
              <w:t>Platform</w:t>
            </w:r>
          </w:p>
        </w:tc>
        <w:tc>
          <w:tcPr>
            <w:tcW w:w="732" w:type="pct"/>
          </w:tcPr>
          <w:p w14:paraId="379F3518" w14:textId="77777777" w:rsidR="008E278A" w:rsidRDefault="008E278A" w:rsidP="008E278A">
            <w:pPr>
              <w:pStyle w:val="CEPATabletext"/>
            </w:pPr>
            <w:r>
              <w:t>Lab-based VL</w:t>
            </w:r>
          </w:p>
        </w:tc>
        <w:tc>
          <w:tcPr>
            <w:tcW w:w="777" w:type="pct"/>
          </w:tcPr>
          <w:p w14:paraId="71C4B102" w14:textId="77777777" w:rsidR="008E278A" w:rsidRPr="00875E47" w:rsidRDefault="008E278A" w:rsidP="008E278A">
            <w:pPr>
              <w:pStyle w:val="CEPATabletext"/>
              <w:rPr>
                <w:i/>
              </w:rPr>
            </w:pPr>
            <w:r>
              <w:rPr>
                <w:i/>
              </w:rPr>
              <w:t>n/a</w:t>
            </w:r>
          </w:p>
        </w:tc>
        <w:tc>
          <w:tcPr>
            <w:tcW w:w="777" w:type="pct"/>
          </w:tcPr>
          <w:p w14:paraId="21C78B05" w14:textId="77777777" w:rsidR="008E278A" w:rsidRPr="001A1056" w:rsidRDefault="008E278A" w:rsidP="008E278A">
            <w:pPr>
              <w:pStyle w:val="CEPATabletext"/>
            </w:pPr>
            <w:r>
              <w:t>0</w:t>
            </w:r>
          </w:p>
        </w:tc>
        <w:tc>
          <w:tcPr>
            <w:tcW w:w="776" w:type="pct"/>
          </w:tcPr>
          <w:p w14:paraId="7F2D0ADD" w14:textId="77777777" w:rsidR="008E278A" w:rsidRDefault="008E278A" w:rsidP="008E278A">
            <w:pPr>
              <w:pStyle w:val="CEPATabletext"/>
              <w:rPr>
                <w:i/>
              </w:rPr>
            </w:pPr>
            <w:r>
              <w:rPr>
                <w:i/>
              </w:rPr>
              <w:t>n/a</w:t>
            </w:r>
          </w:p>
        </w:tc>
      </w:tr>
      <w:tr w:rsidR="00133A7A" w14:paraId="1C679E7F" w14:textId="77777777" w:rsidTr="00133A7A">
        <w:tc>
          <w:tcPr>
            <w:tcW w:w="824" w:type="pct"/>
            <w:vMerge w:val="restart"/>
          </w:tcPr>
          <w:p w14:paraId="662CD50C" w14:textId="77777777" w:rsidR="00133A7A" w:rsidRDefault="00133A7A" w:rsidP="008E278A">
            <w:pPr>
              <w:pStyle w:val="CEPATabletext"/>
            </w:pPr>
            <w:r>
              <w:t>DRW</w:t>
            </w:r>
          </w:p>
        </w:tc>
        <w:tc>
          <w:tcPr>
            <w:tcW w:w="1115" w:type="pct"/>
          </w:tcPr>
          <w:p w14:paraId="60F61163" w14:textId="77777777" w:rsidR="00133A7A" w:rsidRDefault="00133A7A" w:rsidP="008E278A">
            <w:pPr>
              <w:pStyle w:val="CEPATabletext"/>
            </w:pPr>
            <w:r>
              <w:t>SAMBA I</w:t>
            </w:r>
          </w:p>
        </w:tc>
        <w:tc>
          <w:tcPr>
            <w:tcW w:w="732" w:type="pct"/>
          </w:tcPr>
          <w:p w14:paraId="5B05EF9C" w14:textId="4CD5ED61" w:rsidR="00133A7A" w:rsidRDefault="00133A7A" w:rsidP="008E278A">
            <w:pPr>
              <w:pStyle w:val="CEPATabletext"/>
            </w:pPr>
            <w:r>
              <w:t>POC VL</w:t>
            </w:r>
            <w:r>
              <w:rPr>
                <w:rStyle w:val="FootnoteReference"/>
              </w:rPr>
              <w:footnoteReference w:id="39"/>
            </w:r>
          </w:p>
        </w:tc>
        <w:tc>
          <w:tcPr>
            <w:tcW w:w="777" w:type="pct"/>
          </w:tcPr>
          <w:p w14:paraId="0DC61C0D" w14:textId="77777777" w:rsidR="00133A7A" w:rsidRDefault="00133A7A" w:rsidP="008E278A">
            <w:pPr>
              <w:pStyle w:val="CEPATabletext"/>
            </w:pPr>
            <w:r>
              <w:t>14</w:t>
            </w:r>
          </w:p>
        </w:tc>
        <w:tc>
          <w:tcPr>
            <w:tcW w:w="777" w:type="pct"/>
          </w:tcPr>
          <w:p w14:paraId="042ED32D" w14:textId="77777777" w:rsidR="00133A7A" w:rsidRDefault="00133A7A" w:rsidP="008E278A">
            <w:pPr>
              <w:pStyle w:val="CEPATabletext"/>
            </w:pPr>
            <w:r>
              <w:t>8</w:t>
            </w:r>
          </w:p>
        </w:tc>
        <w:tc>
          <w:tcPr>
            <w:tcW w:w="776" w:type="pct"/>
          </w:tcPr>
          <w:p w14:paraId="13681E85" w14:textId="77777777" w:rsidR="00133A7A" w:rsidRDefault="00133A7A" w:rsidP="008E278A">
            <w:pPr>
              <w:pStyle w:val="CEPATabletext"/>
            </w:pPr>
            <w:r>
              <w:t>121,800</w:t>
            </w:r>
          </w:p>
        </w:tc>
      </w:tr>
      <w:tr w:rsidR="00133A7A" w14:paraId="6163A1C2" w14:textId="77777777" w:rsidTr="00133A7A">
        <w:tc>
          <w:tcPr>
            <w:tcW w:w="824" w:type="pct"/>
            <w:vMerge/>
          </w:tcPr>
          <w:p w14:paraId="4E38413B" w14:textId="77777777" w:rsidR="00133A7A" w:rsidRDefault="00133A7A" w:rsidP="008E278A">
            <w:pPr>
              <w:pStyle w:val="CEPATabletext"/>
            </w:pPr>
          </w:p>
        </w:tc>
        <w:tc>
          <w:tcPr>
            <w:tcW w:w="1115" w:type="pct"/>
          </w:tcPr>
          <w:p w14:paraId="5F2B5F21" w14:textId="77777777" w:rsidR="00133A7A" w:rsidRDefault="00133A7A" w:rsidP="008E278A">
            <w:pPr>
              <w:pStyle w:val="CEPATabletext"/>
            </w:pPr>
            <w:r>
              <w:t>SAMBA II</w:t>
            </w:r>
          </w:p>
        </w:tc>
        <w:tc>
          <w:tcPr>
            <w:tcW w:w="732" w:type="pct"/>
          </w:tcPr>
          <w:p w14:paraId="1DED6801" w14:textId="77777777" w:rsidR="00133A7A" w:rsidRDefault="00133A7A" w:rsidP="008E278A">
            <w:pPr>
              <w:pStyle w:val="CEPATabletext"/>
            </w:pPr>
            <w:r>
              <w:t>POC VL and EID</w:t>
            </w:r>
          </w:p>
        </w:tc>
        <w:tc>
          <w:tcPr>
            <w:tcW w:w="777" w:type="pct"/>
          </w:tcPr>
          <w:p w14:paraId="37BBC13C" w14:textId="77777777" w:rsidR="00133A7A" w:rsidRDefault="00133A7A" w:rsidP="008E278A">
            <w:pPr>
              <w:pStyle w:val="CEPATabletext"/>
            </w:pPr>
            <w:r>
              <w:t>0</w:t>
            </w:r>
          </w:p>
        </w:tc>
        <w:tc>
          <w:tcPr>
            <w:tcW w:w="777" w:type="pct"/>
          </w:tcPr>
          <w:p w14:paraId="38F0F097" w14:textId="77777777" w:rsidR="00133A7A" w:rsidRDefault="00133A7A" w:rsidP="008E278A">
            <w:pPr>
              <w:pStyle w:val="CEPATabletext"/>
            </w:pPr>
            <w:r>
              <w:t>2</w:t>
            </w:r>
          </w:p>
        </w:tc>
        <w:tc>
          <w:tcPr>
            <w:tcW w:w="776" w:type="pct"/>
          </w:tcPr>
          <w:p w14:paraId="0E4AA9E0" w14:textId="77777777" w:rsidR="00133A7A" w:rsidRDefault="00133A7A" w:rsidP="008E278A">
            <w:pPr>
              <w:pStyle w:val="CEPATabletext"/>
            </w:pPr>
            <w:r>
              <w:t>0</w:t>
            </w:r>
          </w:p>
        </w:tc>
      </w:tr>
      <w:tr w:rsidR="008E278A" w14:paraId="3330D8A3" w14:textId="77777777" w:rsidTr="00133A7A">
        <w:tc>
          <w:tcPr>
            <w:tcW w:w="824" w:type="pct"/>
          </w:tcPr>
          <w:p w14:paraId="46416FD6" w14:textId="77777777" w:rsidR="008E278A" w:rsidRDefault="008E278A" w:rsidP="008E278A">
            <w:pPr>
              <w:pStyle w:val="CEPATabletext"/>
            </w:pPr>
            <w:r>
              <w:t>Alere</w:t>
            </w:r>
          </w:p>
        </w:tc>
        <w:tc>
          <w:tcPr>
            <w:tcW w:w="1115" w:type="pct"/>
          </w:tcPr>
          <w:p w14:paraId="576C2ED8" w14:textId="77777777" w:rsidR="008E278A" w:rsidRDefault="008E278A" w:rsidP="008E278A">
            <w:pPr>
              <w:pStyle w:val="CEPATabletext"/>
            </w:pPr>
            <w:r>
              <w:t>PIMA</w:t>
            </w:r>
          </w:p>
        </w:tc>
        <w:tc>
          <w:tcPr>
            <w:tcW w:w="732" w:type="pct"/>
          </w:tcPr>
          <w:p w14:paraId="6C4E06F5" w14:textId="77777777" w:rsidR="008E278A" w:rsidRDefault="008E278A" w:rsidP="008E278A">
            <w:pPr>
              <w:pStyle w:val="CEPATabletext"/>
            </w:pPr>
            <w:r>
              <w:t>POC CD4</w:t>
            </w:r>
          </w:p>
        </w:tc>
        <w:tc>
          <w:tcPr>
            <w:tcW w:w="777" w:type="pct"/>
          </w:tcPr>
          <w:p w14:paraId="086DD3D4" w14:textId="77777777" w:rsidR="008E278A" w:rsidRDefault="008E278A" w:rsidP="008E278A">
            <w:pPr>
              <w:pStyle w:val="CEPATabletext"/>
            </w:pPr>
            <w:r>
              <w:t>22</w:t>
            </w:r>
          </w:p>
        </w:tc>
        <w:tc>
          <w:tcPr>
            <w:tcW w:w="777" w:type="pct"/>
          </w:tcPr>
          <w:p w14:paraId="78641200" w14:textId="77777777" w:rsidR="008E278A" w:rsidRDefault="008E278A" w:rsidP="008E278A">
            <w:pPr>
              <w:pStyle w:val="CEPATabletext"/>
            </w:pPr>
            <w:r>
              <w:t>15</w:t>
            </w:r>
          </w:p>
        </w:tc>
        <w:tc>
          <w:tcPr>
            <w:tcW w:w="776" w:type="pct"/>
          </w:tcPr>
          <w:p w14:paraId="32138DBA" w14:textId="77777777" w:rsidR="008E278A" w:rsidRDefault="008E278A" w:rsidP="008E278A">
            <w:pPr>
              <w:pStyle w:val="CEPATabletext"/>
            </w:pPr>
            <w:r>
              <w:t>365,145</w:t>
            </w:r>
            <w:r>
              <w:rPr>
                <w:rStyle w:val="FootnoteReference"/>
              </w:rPr>
              <w:footnoteReference w:id="40"/>
            </w:r>
          </w:p>
        </w:tc>
      </w:tr>
      <w:tr w:rsidR="008E278A" w14:paraId="56D2F0D7" w14:textId="77777777" w:rsidTr="00133A7A">
        <w:tc>
          <w:tcPr>
            <w:tcW w:w="824" w:type="pct"/>
          </w:tcPr>
          <w:p w14:paraId="73F3A44D" w14:textId="77777777" w:rsidR="008E278A" w:rsidRDefault="008E278A" w:rsidP="008E278A">
            <w:pPr>
              <w:pStyle w:val="CEPATabletext"/>
            </w:pPr>
          </w:p>
        </w:tc>
        <w:tc>
          <w:tcPr>
            <w:tcW w:w="1115" w:type="pct"/>
          </w:tcPr>
          <w:p w14:paraId="64F31BED" w14:textId="77777777" w:rsidR="008E278A" w:rsidRDefault="008E278A" w:rsidP="008E278A">
            <w:pPr>
              <w:pStyle w:val="CEPATabletext"/>
            </w:pPr>
            <w:r>
              <w:t>Alere Q</w:t>
            </w:r>
          </w:p>
        </w:tc>
        <w:tc>
          <w:tcPr>
            <w:tcW w:w="732" w:type="pct"/>
          </w:tcPr>
          <w:p w14:paraId="5D8339F9" w14:textId="77777777" w:rsidR="008E278A" w:rsidRDefault="008E278A" w:rsidP="008E278A">
            <w:pPr>
              <w:pStyle w:val="CEPATabletext"/>
            </w:pPr>
            <w:r>
              <w:t>POC VL and EID</w:t>
            </w:r>
          </w:p>
        </w:tc>
        <w:tc>
          <w:tcPr>
            <w:tcW w:w="777" w:type="pct"/>
          </w:tcPr>
          <w:p w14:paraId="0E53EE5C" w14:textId="77777777" w:rsidR="008E278A" w:rsidRDefault="008E278A" w:rsidP="008E278A">
            <w:pPr>
              <w:pStyle w:val="CEPATabletext"/>
            </w:pPr>
            <w:r w:rsidRPr="005F5D18">
              <w:t>24</w:t>
            </w:r>
          </w:p>
        </w:tc>
        <w:tc>
          <w:tcPr>
            <w:tcW w:w="777" w:type="pct"/>
          </w:tcPr>
          <w:p w14:paraId="44EBFE49" w14:textId="77777777" w:rsidR="008E278A" w:rsidRDefault="008E278A" w:rsidP="008E278A">
            <w:pPr>
              <w:pStyle w:val="CEPATabletext"/>
            </w:pPr>
          </w:p>
        </w:tc>
        <w:tc>
          <w:tcPr>
            <w:tcW w:w="776" w:type="pct"/>
          </w:tcPr>
          <w:p w14:paraId="2C871F92" w14:textId="77777777" w:rsidR="008E278A" w:rsidRPr="005F5D18" w:rsidRDefault="008E278A" w:rsidP="008E278A">
            <w:pPr>
              <w:pStyle w:val="CEPATabletext"/>
            </w:pPr>
            <w:r w:rsidRPr="005F5D18">
              <w:t>59,203</w:t>
            </w:r>
          </w:p>
        </w:tc>
      </w:tr>
      <w:tr w:rsidR="008E278A" w14:paraId="6D9D9264" w14:textId="77777777" w:rsidTr="00133A7A">
        <w:tc>
          <w:tcPr>
            <w:tcW w:w="824" w:type="pct"/>
          </w:tcPr>
          <w:p w14:paraId="756E48E9" w14:textId="77777777" w:rsidR="008E278A" w:rsidRDefault="008E278A" w:rsidP="008E278A">
            <w:pPr>
              <w:pStyle w:val="CEPATabletext"/>
            </w:pPr>
            <w:r w:rsidRPr="003A41E4">
              <w:t>Abbott</w:t>
            </w:r>
          </w:p>
        </w:tc>
        <w:tc>
          <w:tcPr>
            <w:tcW w:w="1115" w:type="pct"/>
          </w:tcPr>
          <w:p w14:paraId="22F00690" w14:textId="77777777" w:rsidR="008E278A" w:rsidRDefault="008E278A" w:rsidP="008E278A">
            <w:pPr>
              <w:pStyle w:val="CEPATabletext"/>
            </w:pPr>
            <w:r w:rsidRPr="003A41E4">
              <w:t>RealTime</w:t>
            </w:r>
          </w:p>
        </w:tc>
        <w:tc>
          <w:tcPr>
            <w:tcW w:w="732" w:type="pct"/>
          </w:tcPr>
          <w:p w14:paraId="6D3875C9" w14:textId="77777777" w:rsidR="008E278A" w:rsidRDefault="008E278A" w:rsidP="008E278A">
            <w:pPr>
              <w:pStyle w:val="CEPATabletext"/>
            </w:pPr>
            <w:r w:rsidRPr="003A41E4">
              <w:t>Lab-based VL</w:t>
            </w:r>
            <w:r>
              <w:t xml:space="preserve"> and EID</w:t>
            </w:r>
          </w:p>
        </w:tc>
        <w:tc>
          <w:tcPr>
            <w:tcW w:w="777" w:type="pct"/>
          </w:tcPr>
          <w:p w14:paraId="2A0B980E" w14:textId="77777777" w:rsidR="008E278A" w:rsidRDefault="008E278A" w:rsidP="008E278A">
            <w:pPr>
              <w:pStyle w:val="CEPATabletext"/>
            </w:pPr>
            <w:r>
              <w:t>0</w:t>
            </w:r>
          </w:p>
        </w:tc>
        <w:tc>
          <w:tcPr>
            <w:tcW w:w="777" w:type="pct"/>
          </w:tcPr>
          <w:p w14:paraId="19D52AA1" w14:textId="77777777" w:rsidR="008E278A" w:rsidRDefault="008E278A" w:rsidP="008E278A">
            <w:pPr>
              <w:pStyle w:val="CEPATabletext"/>
            </w:pPr>
            <w:r>
              <w:t>1</w:t>
            </w:r>
          </w:p>
        </w:tc>
        <w:tc>
          <w:tcPr>
            <w:tcW w:w="776" w:type="pct"/>
          </w:tcPr>
          <w:p w14:paraId="21D1184A" w14:textId="77777777" w:rsidR="008E278A" w:rsidRDefault="008E278A" w:rsidP="008E278A">
            <w:pPr>
              <w:pStyle w:val="CEPATabletext"/>
            </w:pPr>
            <w:r>
              <w:t>0</w:t>
            </w:r>
          </w:p>
        </w:tc>
      </w:tr>
      <w:tr w:rsidR="008E278A" w14:paraId="22C970FB" w14:textId="77777777" w:rsidTr="00133A7A">
        <w:tc>
          <w:tcPr>
            <w:tcW w:w="824" w:type="pct"/>
          </w:tcPr>
          <w:p w14:paraId="5105F96B" w14:textId="77777777" w:rsidR="008E278A" w:rsidRDefault="008E278A" w:rsidP="008E278A">
            <w:pPr>
              <w:pStyle w:val="CEPATabletext"/>
            </w:pPr>
            <w:r>
              <w:t>Cepheid</w:t>
            </w:r>
          </w:p>
        </w:tc>
        <w:tc>
          <w:tcPr>
            <w:tcW w:w="1115" w:type="pct"/>
          </w:tcPr>
          <w:p w14:paraId="6D3E57B5" w14:textId="77777777" w:rsidR="008E278A" w:rsidRDefault="008E278A" w:rsidP="008E278A">
            <w:pPr>
              <w:pStyle w:val="CEPATabletext"/>
            </w:pPr>
            <w:r>
              <w:t>GeneXpert</w:t>
            </w:r>
          </w:p>
        </w:tc>
        <w:tc>
          <w:tcPr>
            <w:tcW w:w="732" w:type="pct"/>
          </w:tcPr>
          <w:p w14:paraId="0BB7B2CB" w14:textId="77777777" w:rsidR="008E278A" w:rsidRDefault="008E278A" w:rsidP="008E278A">
            <w:pPr>
              <w:pStyle w:val="CEPATabletext"/>
            </w:pPr>
            <w:r>
              <w:t>POC VL and EID</w:t>
            </w:r>
          </w:p>
        </w:tc>
        <w:tc>
          <w:tcPr>
            <w:tcW w:w="777" w:type="pct"/>
          </w:tcPr>
          <w:p w14:paraId="2152C8ED" w14:textId="77777777" w:rsidR="008E278A" w:rsidRDefault="008E278A" w:rsidP="008E278A">
            <w:pPr>
              <w:pStyle w:val="CEPATabletext"/>
            </w:pPr>
            <w:r>
              <w:t>2</w:t>
            </w:r>
          </w:p>
        </w:tc>
        <w:tc>
          <w:tcPr>
            <w:tcW w:w="777" w:type="pct"/>
          </w:tcPr>
          <w:p w14:paraId="7FF2E1E5" w14:textId="77777777" w:rsidR="008E278A" w:rsidRDefault="008E278A" w:rsidP="008E278A">
            <w:pPr>
              <w:pStyle w:val="CEPATabletext"/>
            </w:pPr>
            <w:r>
              <w:t>9</w:t>
            </w:r>
          </w:p>
        </w:tc>
        <w:tc>
          <w:tcPr>
            <w:tcW w:w="776" w:type="pct"/>
          </w:tcPr>
          <w:p w14:paraId="23D0F811" w14:textId="77777777" w:rsidR="008E278A" w:rsidRDefault="008E278A" w:rsidP="008E278A">
            <w:pPr>
              <w:pStyle w:val="CEPATabletext"/>
            </w:pPr>
            <w:r>
              <w:t>10,800</w:t>
            </w:r>
          </w:p>
        </w:tc>
      </w:tr>
      <w:tr w:rsidR="008E278A" w14:paraId="03B33731" w14:textId="77777777" w:rsidTr="00133A7A">
        <w:tc>
          <w:tcPr>
            <w:tcW w:w="824" w:type="pct"/>
          </w:tcPr>
          <w:p w14:paraId="250007A1" w14:textId="77777777" w:rsidR="008E278A" w:rsidRDefault="008E278A" w:rsidP="008E278A">
            <w:pPr>
              <w:pStyle w:val="CEPATabletext"/>
            </w:pPr>
            <w:r>
              <w:t>Zyomix</w:t>
            </w:r>
          </w:p>
        </w:tc>
        <w:tc>
          <w:tcPr>
            <w:tcW w:w="1115" w:type="pct"/>
          </w:tcPr>
          <w:p w14:paraId="0D31790B" w14:textId="6ADACA53" w:rsidR="008E278A" w:rsidRDefault="008E278A" w:rsidP="008E278A">
            <w:pPr>
              <w:pStyle w:val="CEPATabletext"/>
            </w:pPr>
            <w:r>
              <w:t>MyT4</w:t>
            </w:r>
          </w:p>
        </w:tc>
        <w:tc>
          <w:tcPr>
            <w:tcW w:w="732" w:type="pct"/>
          </w:tcPr>
          <w:p w14:paraId="3DFD4E66" w14:textId="77777777" w:rsidR="008E278A" w:rsidRDefault="008E278A" w:rsidP="008E278A">
            <w:pPr>
              <w:pStyle w:val="CEPATabletext"/>
            </w:pPr>
            <w:r>
              <w:t>POC CD4</w:t>
            </w:r>
          </w:p>
        </w:tc>
        <w:tc>
          <w:tcPr>
            <w:tcW w:w="777" w:type="pct"/>
          </w:tcPr>
          <w:p w14:paraId="39B569C2" w14:textId="77777777" w:rsidR="008E278A" w:rsidRDefault="008E278A" w:rsidP="008E278A">
            <w:pPr>
              <w:pStyle w:val="CEPATabletext"/>
            </w:pPr>
            <w:r>
              <w:t>10</w:t>
            </w:r>
          </w:p>
        </w:tc>
        <w:tc>
          <w:tcPr>
            <w:tcW w:w="777" w:type="pct"/>
          </w:tcPr>
          <w:p w14:paraId="7FA714FC" w14:textId="77777777" w:rsidR="008E278A" w:rsidRDefault="008E278A" w:rsidP="008E278A">
            <w:pPr>
              <w:pStyle w:val="CEPATabletext"/>
            </w:pPr>
            <w:r>
              <w:t>0</w:t>
            </w:r>
          </w:p>
        </w:tc>
        <w:tc>
          <w:tcPr>
            <w:tcW w:w="776" w:type="pct"/>
          </w:tcPr>
          <w:p w14:paraId="47DCFBC3" w14:textId="77777777" w:rsidR="008E278A" w:rsidRDefault="008E278A" w:rsidP="008E278A">
            <w:pPr>
              <w:pStyle w:val="CEPATabletext"/>
            </w:pPr>
            <w:r>
              <w:t>4,500</w:t>
            </w:r>
          </w:p>
        </w:tc>
      </w:tr>
      <w:tr w:rsidR="008E278A" w14:paraId="0F9D3257" w14:textId="77777777" w:rsidTr="00133A7A">
        <w:tc>
          <w:tcPr>
            <w:tcW w:w="824" w:type="pct"/>
          </w:tcPr>
          <w:p w14:paraId="0D5913FE" w14:textId="77777777" w:rsidR="008E278A" w:rsidRDefault="008E278A" w:rsidP="008E278A">
            <w:pPr>
              <w:pStyle w:val="CEPATabletext"/>
            </w:pPr>
            <w:r>
              <w:t>Sysmex Partec</w:t>
            </w:r>
          </w:p>
        </w:tc>
        <w:tc>
          <w:tcPr>
            <w:tcW w:w="1115" w:type="pct"/>
          </w:tcPr>
          <w:p w14:paraId="2D60ABCD" w14:textId="57B59A80" w:rsidR="008E278A" w:rsidRDefault="008E278A" w:rsidP="008E278A">
            <w:pPr>
              <w:pStyle w:val="CEPATabletext"/>
            </w:pPr>
            <w:r w:rsidRPr="007F1250">
              <w:t>CyFlow miniPOC</w:t>
            </w:r>
          </w:p>
        </w:tc>
        <w:tc>
          <w:tcPr>
            <w:tcW w:w="732" w:type="pct"/>
          </w:tcPr>
          <w:p w14:paraId="70AB979C" w14:textId="77777777" w:rsidR="008E278A" w:rsidRDefault="008E278A" w:rsidP="008E278A">
            <w:pPr>
              <w:pStyle w:val="CEPATabletext"/>
            </w:pPr>
            <w:r>
              <w:t>POC CD4</w:t>
            </w:r>
          </w:p>
        </w:tc>
        <w:tc>
          <w:tcPr>
            <w:tcW w:w="777" w:type="pct"/>
          </w:tcPr>
          <w:p w14:paraId="01E42819" w14:textId="77777777" w:rsidR="008E278A" w:rsidRDefault="008E278A" w:rsidP="008E278A">
            <w:pPr>
              <w:pStyle w:val="CEPATabletext"/>
            </w:pPr>
            <w:r>
              <w:t>2</w:t>
            </w:r>
          </w:p>
        </w:tc>
        <w:tc>
          <w:tcPr>
            <w:tcW w:w="777" w:type="pct"/>
          </w:tcPr>
          <w:p w14:paraId="28E2F444" w14:textId="77777777" w:rsidR="008E278A" w:rsidRDefault="008E278A" w:rsidP="008E278A">
            <w:pPr>
              <w:pStyle w:val="CEPATabletext"/>
            </w:pPr>
            <w:r>
              <w:t>0</w:t>
            </w:r>
          </w:p>
        </w:tc>
        <w:tc>
          <w:tcPr>
            <w:tcW w:w="776" w:type="pct"/>
          </w:tcPr>
          <w:p w14:paraId="25C19C7D" w14:textId="77777777" w:rsidR="008E278A" w:rsidRDefault="008E278A" w:rsidP="008E278A">
            <w:pPr>
              <w:pStyle w:val="CEPATabletext"/>
            </w:pPr>
            <w:r>
              <w:t>42,720</w:t>
            </w:r>
          </w:p>
        </w:tc>
      </w:tr>
    </w:tbl>
    <w:p w14:paraId="1CA0FFA9" w14:textId="1358D4A6" w:rsidR="008E278A" w:rsidRDefault="008E278A" w:rsidP="008E278A">
      <w:pPr>
        <w:pStyle w:val="CEPATabletext"/>
        <w:rPr>
          <w:i/>
        </w:rPr>
      </w:pPr>
      <w:r>
        <w:rPr>
          <w:i/>
        </w:rPr>
        <w:t>Source: MSF/</w:t>
      </w:r>
      <w:r w:rsidR="00B55E9C">
        <w:rPr>
          <w:i/>
        </w:rPr>
        <w:t>Unitaid</w:t>
      </w:r>
      <w:r>
        <w:rPr>
          <w:i/>
        </w:rPr>
        <w:t xml:space="preserve"> Purchasing and Procurement Approach, Draft v4, pp.13-14 and MSF Annual Procurement Reports.</w:t>
      </w:r>
    </w:p>
    <w:p w14:paraId="4BCCDF47" w14:textId="77777777" w:rsidR="00B758FE" w:rsidRDefault="00B758FE" w:rsidP="00B758FE">
      <w:pPr>
        <w:pStyle w:val="CEPAReportText"/>
      </w:pPr>
      <w:r>
        <w:t xml:space="preserve">With regards to </w:t>
      </w:r>
      <w:r>
        <w:rPr>
          <w:b/>
        </w:rPr>
        <w:t>VL</w:t>
      </w:r>
      <w:r w:rsidRPr="00550917">
        <w:rPr>
          <w:b/>
        </w:rPr>
        <w:t xml:space="preserve"> testing</w:t>
      </w:r>
      <w:r>
        <w:t xml:space="preserve">, the original project plan notes the intention to conduct 371,129 laboratory-based VL testing, alongside 52,429 POC VL tests and 122,480 simplified VL test through the SAMBA. These targets changed substantially during the course of the project, with increased need for VL testing given the new WHO guidelines but also considerable re-planning on account of pipeline product delays and country-specific issues. The end of project progress report highlights an achievement of 426,181 against a revised target of 540,690 VL tests, representing a 79% achievement. The majority of these tests, a total of </w:t>
      </w:r>
      <w:r w:rsidRPr="004D246F">
        <w:t>304,827</w:t>
      </w:r>
      <w:r>
        <w:t xml:space="preserve"> representing 72% of all VL tests, were performed in 2015 and 2016. The initial years of the grant had lower number of tests conducted with pipeline delays, but despite a substantial increase in testing, these could not be made up for in the latter years of the grant. However, despite a lower than planned achievement, this was the main contribution of the MSF grant, namely to establish and demonstrate the feasibility of VL testing. </w:t>
      </w:r>
    </w:p>
    <w:p w14:paraId="3486D9F0" w14:textId="4E2A6024" w:rsidR="00DE055F" w:rsidRDefault="006051FE" w:rsidP="004124E0">
      <w:pPr>
        <w:pStyle w:val="CEPAReportText"/>
      </w:pPr>
      <w:r>
        <w:t xml:space="preserve">In terms of </w:t>
      </w:r>
      <w:r>
        <w:rPr>
          <w:b/>
        </w:rPr>
        <w:t xml:space="preserve">POC CD4 testing, </w:t>
      </w:r>
      <w:r>
        <w:t xml:space="preserve">the original project plan target was to conduct a total of 362,100 tests across Lesotho, Mozambique, South Africa, Swaziland and Malawi. With the change in WHO guidelines </w:t>
      </w:r>
      <w:r w:rsidR="00DE055F">
        <w:t xml:space="preserve">in 2013 the demand for CD4 testing declined, </w:t>
      </w:r>
      <w:r w:rsidR="00DE055F" w:rsidDel="00C81E6E">
        <w:t xml:space="preserve">and </w:t>
      </w:r>
      <w:r w:rsidR="00D4159D">
        <w:t>as such</w:t>
      </w:r>
      <w:r w:rsidR="00DE055F" w:rsidDel="00C81E6E">
        <w:t xml:space="preserve"> </w:t>
      </w:r>
      <w:r w:rsidR="00DE055F">
        <w:t>the overall target for CD4 testing under the project dropped to 65,659 tests</w:t>
      </w:r>
      <w:r w:rsidR="00B07EE6">
        <w:t xml:space="preserve"> </w:t>
      </w:r>
      <w:r w:rsidR="00D4159D">
        <w:t>as per</w:t>
      </w:r>
      <w:r w:rsidR="00B07EE6">
        <w:t xml:space="preserve"> the August 2016 revision of the logframe</w:t>
      </w:r>
      <w:r w:rsidR="00DE055F">
        <w:t>. As reported in the end of project report, this final target was exceeded by 8%, with a total of 71,125 tests conducted.</w:t>
      </w:r>
      <w:r w:rsidR="0011672A">
        <w:t xml:space="preserve"> According to the 2016 project logframe, t</w:t>
      </w:r>
      <w:r w:rsidR="00B07EE6">
        <w:t xml:space="preserve">he majority of these tests, a total of 49,430, were performed in Swaziland, comprising </w:t>
      </w:r>
      <w:r w:rsidR="00EB716F">
        <w:t>69% of total CD4 tests performed over the lifetime of the grant.</w:t>
      </w:r>
      <w:r w:rsidR="00EB716F">
        <w:rPr>
          <w:rStyle w:val="FootnoteReference"/>
        </w:rPr>
        <w:footnoteReference w:id="41"/>
      </w:r>
      <w:r w:rsidR="00B07EE6">
        <w:t xml:space="preserve"> </w:t>
      </w:r>
    </w:p>
    <w:p w14:paraId="784794DB" w14:textId="66A39F6F" w:rsidR="00550917" w:rsidRDefault="008E26DE" w:rsidP="00F863CA">
      <w:pPr>
        <w:pStyle w:val="CEPAReportText"/>
      </w:pPr>
      <w:r>
        <w:t xml:space="preserve">Finally, with regards to </w:t>
      </w:r>
      <w:r>
        <w:rPr>
          <w:b/>
        </w:rPr>
        <w:t>EID testing</w:t>
      </w:r>
      <w:r>
        <w:t xml:space="preserve">, the project plan </w:t>
      </w:r>
      <w:r w:rsidR="00444BBE">
        <w:t xml:space="preserve">indicates 12,300 EID tests will be conducted in Swaziland under the project alongside 9,610 EID tests through SAMBA in Malawi and Uganda. These were revised to a cumulative target of </w:t>
      </w:r>
      <w:r w:rsidR="008E278A" w:rsidRPr="000C4E69">
        <w:t>12,261</w:t>
      </w:r>
      <w:r w:rsidR="008E278A">
        <w:t xml:space="preserve"> </w:t>
      </w:r>
      <w:r w:rsidR="00444BBE">
        <w:t>tests as per the end of project report, with a noted achievement of 5,</w:t>
      </w:r>
      <w:r w:rsidR="00D82903">
        <w:t>87</w:t>
      </w:r>
      <w:r w:rsidR="00444BBE">
        <w:t xml:space="preserve">5 tests or </w:t>
      </w:r>
      <w:r w:rsidR="008E278A">
        <w:t>48%,</w:t>
      </w:r>
      <w:r w:rsidR="003B1101">
        <w:t xml:space="preserve"> the</w:t>
      </w:r>
      <w:r w:rsidR="00444BBE">
        <w:t xml:space="preserve"> majority of these were driven by the EID tests conducted in Kenya through GeneXpert in support of intense EID research related efforts, rather than routine EID testing.  </w:t>
      </w:r>
    </w:p>
    <w:p w14:paraId="58CC11CF" w14:textId="42EEBD76" w:rsidR="00895778" w:rsidRDefault="00895778" w:rsidP="00F863CA">
      <w:pPr>
        <w:pStyle w:val="CEPAReportText"/>
      </w:pPr>
      <w:r>
        <w:t>A focus on the numbers, in terms of planned versus actual devices and tests procured is not instrumental to assess the performance of the grant alone (also noting the changing targets over time). Rather, a qualitative assessment</w:t>
      </w:r>
      <w:r w:rsidR="007E3DAB" w:rsidRPr="007E3DAB">
        <w:t xml:space="preserve"> </w:t>
      </w:r>
      <w:r w:rsidR="007E3DAB">
        <w:t>is useful</w:t>
      </w:r>
      <w:r>
        <w:t xml:space="preserve">, which was provided through our interviews, both global and country-level, where the feedback has largely been that MSF made an important contribution to demonstrating </w:t>
      </w:r>
      <w:r w:rsidR="00236822">
        <w:t>VL testing in particular, amidst complex settings and challenges such as delayed technologies, although to a lesser extent in terms of EID</w:t>
      </w:r>
      <w:r w:rsidR="00B758FE">
        <w:t>, CD4</w:t>
      </w:r>
      <w:r w:rsidR="00236822">
        <w:t xml:space="preserve"> and POC VL testing. </w:t>
      </w:r>
    </w:p>
    <w:p w14:paraId="3A8EADBD" w14:textId="02658285" w:rsidR="00F863CA" w:rsidRDefault="00F863CA" w:rsidP="008E278A">
      <w:pPr>
        <w:pStyle w:val="Heading3"/>
      </w:pPr>
      <w:r>
        <w:t>Operational research and advocacy activities</w:t>
      </w:r>
    </w:p>
    <w:p w14:paraId="019FDD90" w14:textId="4F0E3FAE" w:rsidR="00B26759" w:rsidRDefault="00B26759" w:rsidP="004211A8">
      <w:pPr>
        <w:pStyle w:val="CEPAReportText"/>
      </w:pPr>
      <w:r>
        <w:t xml:space="preserve">The project plan </w:t>
      </w:r>
      <w:r w:rsidR="00FF6068">
        <w:t>identifies a number of areas of research and topics of interest (pp 13-14</w:t>
      </w:r>
      <w:r w:rsidR="004D460C">
        <w:t>, 18-22</w:t>
      </w:r>
      <w:r w:rsidR="00FF6068">
        <w:t>) alongside a plan for</w:t>
      </w:r>
      <w:r>
        <w:t xml:space="preserve"> communications at the country level</w:t>
      </w:r>
      <w:r w:rsidR="00FF6068">
        <w:t xml:space="preserve"> (</w:t>
      </w:r>
      <w:r>
        <w:t xml:space="preserve">in terms </w:t>
      </w:r>
      <w:r w:rsidR="0033315C">
        <w:t xml:space="preserve">of </w:t>
      </w:r>
      <w:r>
        <w:t xml:space="preserve">liaison with country stakeholders such as </w:t>
      </w:r>
      <w:r w:rsidR="00AC632E">
        <w:t>the Ministry of Health</w:t>
      </w:r>
      <w:r>
        <w:t xml:space="preserve"> </w:t>
      </w:r>
      <w:r w:rsidR="00AC632E">
        <w:t>(</w:t>
      </w:r>
      <w:r w:rsidR="00B61C4F">
        <w:t>MOH</w:t>
      </w:r>
      <w:r w:rsidR="00AC632E">
        <w:t>)</w:t>
      </w:r>
      <w:r>
        <w:t xml:space="preserve"> as well as creation of educational material and sharing at appropriate fora</w:t>
      </w:r>
      <w:r w:rsidR="00FF6068">
        <w:t>) a</w:t>
      </w:r>
      <w:r w:rsidR="001C2718">
        <w:t>nd</w:t>
      </w:r>
      <w:r>
        <w:t xml:space="preserve"> at the global level</w:t>
      </w:r>
      <w:r w:rsidR="00FF6068">
        <w:t xml:space="preserve"> (</w:t>
      </w:r>
      <w:r>
        <w:t xml:space="preserve">in terms of publications and meetings; and at the wider community level, in terms of coordinating with WHO, other </w:t>
      </w:r>
      <w:r w:rsidR="00B55E9C">
        <w:t>Unitaid</w:t>
      </w:r>
      <w:r>
        <w:t xml:space="preserve"> grantees and stakeholders</w:t>
      </w:r>
      <w:r w:rsidR="00FF6068">
        <w:t>)</w:t>
      </w:r>
      <w:r>
        <w:t xml:space="preserve"> (pp 121-122)</w:t>
      </w:r>
      <w:r w:rsidR="00FF6068">
        <w:t xml:space="preserve">. Further, while not operational research per se, there was also a plan to develop market assessment reports (pp 22-23). </w:t>
      </w:r>
    </w:p>
    <w:p w14:paraId="63D6590F" w14:textId="2D3BC485" w:rsidR="00FF6068" w:rsidRDefault="00FF6068" w:rsidP="004211A8">
      <w:pPr>
        <w:pStyle w:val="CEPAReportText"/>
      </w:pPr>
      <w:r>
        <w:t>While it has not been possible to review all research outputs and communications from the project, we note the following in terms of progress highlighted in successive annual reports as well as feedback from our consultations:</w:t>
      </w:r>
    </w:p>
    <w:p w14:paraId="5284F399" w14:textId="5F7DC05C" w:rsidR="00086283" w:rsidRDefault="00086283" w:rsidP="00C614AB">
      <w:pPr>
        <w:pStyle w:val="CEPABullets"/>
      </w:pPr>
      <w:bookmarkStart w:id="323" w:name="_Toc499825746"/>
      <w:bookmarkStart w:id="324" w:name="_Toc499827490"/>
      <w:bookmarkStart w:id="325" w:name="_Toc500074984"/>
      <w:bookmarkStart w:id="326" w:name="_Toc500077850"/>
      <w:bookmarkStart w:id="327" w:name="_Toc500179384"/>
      <w:r>
        <w:t xml:space="preserve">A wide-ranging set of </w:t>
      </w:r>
      <w:r w:rsidRPr="004124E0">
        <w:rPr>
          <w:b/>
        </w:rPr>
        <w:t>scientific publications</w:t>
      </w:r>
      <w:r w:rsidR="004124E0">
        <w:t xml:space="preserve"> have been produced</w:t>
      </w:r>
      <w:r>
        <w:t>, with 40 peer-reviewed articles disseminated in scientific and policymaker arenas, including validation studies for new diagnostic platforms and sample types, such as DBS, and studies on adherence to ART.</w:t>
      </w:r>
      <w:r w:rsidR="00C614AB">
        <w:t xml:space="preserve"> </w:t>
      </w:r>
      <w:r w:rsidR="00B758FE">
        <w:t xml:space="preserve">The value of these studies is reflected in their citing in other </w:t>
      </w:r>
      <w:r w:rsidR="00C614AB">
        <w:t xml:space="preserve">academic literature </w:t>
      </w:r>
      <w:r w:rsidR="00B758FE">
        <w:t xml:space="preserve">e.g. the </w:t>
      </w:r>
      <w:r w:rsidR="00C614AB">
        <w:t>article by Roberts et al (2016) on s</w:t>
      </w:r>
      <w:r w:rsidR="00C614AB" w:rsidRPr="00C614AB">
        <w:t>cale-up of Routine Viral Load Testing in Resource-Poor Settings</w:t>
      </w:r>
      <w:r w:rsidR="00C614AB">
        <w:t xml:space="preserve"> </w:t>
      </w:r>
      <w:r w:rsidR="00D22156">
        <w:t>h</w:t>
      </w:r>
      <w:r w:rsidR="006801D1">
        <w:t>as been cited 56 times to date.</w:t>
      </w:r>
      <w:r w:rsidR="006801D1">
        <w:rPr>
          <w:rStyle w:val="FootnoteReference"/>
        </w:rPr>
        <w:footnoteReference w:id="42"/>
      </w:r>
    </w:p>
    <w:p w14:paraId="1E635494" w14:textId="20BE1362" w:rsidR="008E278A" w:rsidRDefault="008E278A" w:rsidP="00832C90">
      <w:pPr>
        <w:pStyle w:val="CEPABullets"/>
      </w:pPr>
      <w:r>
        <w:t>The</w:t>
      </w:r>
      <w:r w:rsidRPr="00E7124B">
        <w:t xml:space="preserve"> </w:t>
      </w:r>
      <w:r w:rsidRPr="004124E0">
        <w:rPr>
          <w:b/>
        </w:rPr>
        <w:t>MSF Access ‘Undetectable’ campaign</w:t>
      </w:r>
      <w:r w:rsidR="004124E0">
        <w:t xml:space="preserve"> was delivered</w:t>
      </w:r>
      <w:r>
        <w:t>, a coordinated advocacy and communication campaign to push for early ART initiation, routine VL monitoring, enhanced adherence support and community models of care with increased community involvement and patient self-management in low-income settings.</w:t>
      </w:r>
      <w:r>
        <w:rPr>
          <w:rStyle w:val="FootnoteReference"/>
        </w:rPr>
        <w:footnoteReference w:id="43"/>
      </w:r>
      <w:r>
        <w:t xml:space="preserve"> This campaign produced a nine-volume series of publications advocating for scale up of </w:t>
      </w:r>
      <w:r w:rsidRPr="005F7BF4">
        <w:t>VL, EID and CD4 monitoring</w:t>
      </w:r>
      <w:r>
        <w:t xml:space="preserve">. It included the </w:t>
      </w:r>
      <w:r>
        <w:rPr>
          <w:i/>
        </w:rPr>
        <w:t xml:space="preserve">Making Viral Load Routine </w:t>
      </w:r>
      <w:r>
        <w:t xml:space="preserve">report launched at the 2016 IAS meeting in Durban, and market assessments showcasing </w:t>
      </w:r>
      <w:r w:rsidRPr="00E7124B">
        <w:t>data on prices for VL and CD4 tests, plans for country scale-up and barriers to implementation</w:t>
      </w:r>
      <w:r>
        <w:t xml:space="preserve"> in project countries.</w:t>
      </w:r>
      <w:r w:rsidR="006801D1">
        <w:t xml:space="preserve"> Consultations, including with WHO, have indicated how useful these reports have been. </w:t>
      </w:r>
    </w:p>
    <w:p w14:paraId="6F488610" w14:textId="38938039" w:rsidR="00F20606" w:rsidRDefault="00F20606" w:rsidP="0042787C">
      <w:pPr>
        <w:pStyle w:val="CEPABullets"/>
      </w:pPr>
      <w:r>
        <w:t xml:space="preserve">At the </w:t>
      </w:r>
      <w:r w:rsidRPr="00832C90">
        <w:rPr>
          <w:b/>
        </w:rPr>
        <w:t>global level, specific advocacy and dissemination activities</w:t>
      </w:r>
      <w:r>
        <w:t xml:space="preserve"> have included: (i) direct support to WHO through data-sharing and technical advice which informed the 2013 and 2017 revisions to the ART guidelines as well as engagement with WHO to facilitate the PQ process for new diagnostics (more in Section 4.1); and (ii) regular dissemination of results and lessons learned through the grant at a wide range of international fora, with MSF progress reports highlighting the IAS 2013, 2015 and 2016, CROI 2013 and ICASA 2013 </w:t>
      </w:r>
      <w:r w:rsidRPr="00F972E5">
        <w:t>conferences</w:t>
      </w:r>
      <w:r>
        <w:t xml:space="preserve"> in particular.</w:t>
      </w:r>
      <w:r w:rsidR="00B758FE">
        <w:t xml:space="preserve"> Consultations have indicated that these have been well delivered and received. </w:t>
      </w:r>
    </w:p>
    <w:p w14:paraId="7B6D6463" w14:textId="71D967BF" w:rsidR="00832C90" w:rsidRDefault="004124E0" w:rsidP="0042787C">
      <w:pPr>
        <w:pStyle w:val="CEPABullets"/>
      </w:pPr>
      <w:r>
        <w:t>A number of</w:t>
      </w:r>
      <w:r w:rsidRPr="004124E0">
        <w:rPr>
          <w:b/>
        </w:rPr>
        <w:t xml:space="preserve"> evidence sharing,</w:t>
      </w:r>
      <w:r w:rsidR="008E278A" w:rsidRPr="004124E0">
        <w:rPr>
          <w:b/>
        </w:rPr>
        <w:t xml:space="preserve"> </w:t>
      </w:r>
      <w:r w:rsidR="008E278A" w:rsidRPr="00832C90">
        <w:rPr>
          <w:b/>
        </w:rPr>
        <w:t>advocacy and dissemination activities</w:t>
      </w:r>
      <w:r w:rsidR="008E278A">
        <w:t xml:space="preserve"> </w:t>
      </w:r>
      <w:r>
        <w:t>have been conducted</w:t>
      </w:r>
      <w:r w:rsidR="008E278A">
        <w:t xml:space="preserve"> at the</w:t>
      </w:r>
      <w:r w:rsidR="008E278A" w:rsidRPr="004124E0">
        <w:rPr>
          <w:b/>
        </w:rPr>
        <w:t xml:space="preserve"> </w:t>
      </w:r>
      <w:r w:rsidR="008E278A" w:rsidRPr="00832C90">
        <w:rPr>
          <w:b/>
        </w:rPr>
        <w:t>country level</w:t>
      </w:r>
      <w:r w:rsidR="008E278A">
        <w:t xml:space="preserve">, </w:t>
      </w:r>
      <w:r>
        <w:t xml:space="preserve">including </w:t>
      </w:r>
      <w:r w:rsidR="008E278A">
        <w:t xml:space="preserve">regular engagement </w:t>
      </w:r>
      <w:r w:rsidR="00F20606">
        <w:t xml:space="preserve">mainly </w:t>
      </w:r>
      <w:r w:rsidR="008E278A">
        <w:t>with</w:t>
      </w:r>
      <w:r w:rsidR="00F20606">
        <w:t>: (i)</w:t>
      </w:r>
      <w:r w:rsidR="008E278A">
        <w:t xml:space="preserve"> </w:t>
      </w:r>
      <w:r w:rsidR="00B61C4F">
        <w:t>MOH</w:t>
      </w:r>
      <w:r w:rsidR="008E278A">
        <w:t xml:space="preserve"> staff, donors and partners (e.g. PEPFAR, Global Fund, CHAI) to facilitate </w:t>
      </w:r>
      <w:r w:rsidR="003C6684">
        <w:t>hand-over</w:t>
      </w:r>
      <w:r w:rsidR="008E278A">
        <w:t xml:space="preserve"> to </w:t>
      </w:r>
      <w:r w:rsidR="00B61C4F">
        <w:t>MOH</w:t>
      </w:r>
      <w:r w:rsidR="008E278A">
        <w:t xml:space="preserve"> and scale-up of VL testing;</w:t>
      </w:r>
      <w:r>
        <w:t xml:space="preserve"> </w:t>
      </w:r>
      <w:r w:rsidR="00F20606">
        <w:t xml:space="preserve">and (ii) </w:t>
      </w:r>
      <w:r w:rsidR="007E3DAB">
        <w:t xml:space="preserve">CSOs and patient groups for </w:t>
      </w:r>
      <w:r w:rsidR="00086283">
        <w:t>demand creation.</w:t>
      </w:r>
      <w:r>
        <w:t xml:space="preserve"> </w:t>
      </w:r>
      <w:r w:rsidR="00E71A95">
        <w:t>However</w:t>
      </w:r>
      <w:r w:rsidR="002D585C">
        <w:t>,</w:t>
      </w:r>
      <w:r w:rsidR="00E71A95">
        <w:t xml:space="preserve"> the extent of this work has varied across countries as </w:t>
      </w:r>
      <w:r>
        <w:t>presented in our country case studies described</w:t>
      </w:r>
      <w:r w:rsidR="00E71A95">
        <w:t xml:space="preserve"> in Section 3.3</w:t>
      </w:r>
      <w:r w:rsidR="009D1C0D">
        <w:t xml:space="preserve">. </w:t>
      </w:r>
      <w:r>
        <w:t>“Traction” of this work in terms of supporting national policy development has also varied by country as described in Section 4.1</w:t>
      </w:r>
      <w:r w:rsidR="00D258F0">
        <w:t>.</w:t>
      </w:r>
      <w:r w:rsidR="00990763">
        <w:t xml:space="preserve"> </w:t>
      </w:r>
      <w:r w:rsidR="0042787C" w:rsidRPr="0042787C">
        <w:t xml:space="preserve">MSF </w:t>
      </w:r>
      <w:r w:rsidR="0042787C">
        <w:t xml:space="preserve">also </w:t>
      </w:r>
      <w:r w:rsidR="0042787C" w:rsidRPr="0042787C">
        <w:t>collaborated with the International Treatment Preparedness Coalition (ITPC) to implement the ‘Be Healthy, Know Your Viral Load’ campaign which provides networks of PLHIV and community activists in nine countries with knowledge to demand VL scale-up and resources to run advocacy campaigns.</w:t>
      </w:r>
      <w:r w:rsidR="005058A9">
        <w:t xml:space="preserve"> Feedback has indicated that this was helpful in some countries</w:t>
      </w:r>
      <w:r w:rsidR="00ED189B">
        <w:t xml:space="preserve">. </w:t>
      </w:r>
      <w:r w:rsidR="0042787C" w:rsidRPr="0042787C">
        <w:t>However, we understand that this advocacy messaging was delayed and only introduced towards the end of the project, reducing its value to a certain degree.</w:t>
      </w:r>
      <w:r w:rsidR="00C614AB">
        <w:t xml:space="preserve"> We understand that part of this delay was due to Unitaid’s approach to funding CSOs which we understand has since evolved.  </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808080" w:themeFill="background1" w:themeFillShade="80"/>
        <w:tblLook w:val="04A0" w:firstRow="1" w:lastRow="0" w:firstColumn="1" w:lastColumn="0" w:noHBand="0" w:noVBand="1"/>
      </w:tblPr>
      <w:tblGrid>
        <w:gridCol w:w="9016"/>
      </w:tblGrid>
      <w:tr w:rsidR="006B5784" w:rsidRPr="007E3DAB" w14:paraId="016A711E" w14:textId="77777777" w:rsidTr="006B5784">
        <w:trPr>
          <w:trHeight w:val="400"/>
          <w:tblHeader/>
        </w:trPr>
        <w:tc>
          <w:tcPr>
            <w:tcW w:w="5000" w:type="pct"/>
            <w:shd w:val="clear" w:color="auto" w:fill="7EA8DC" w:themeFill="text1" w:themeFillTint="80"/>
          </w:tcPr>
          <w:p w14:paraId="72DA44A1" w14:textId="77777777" w:rsidR="006B5784" w:rsidRPr="007E3DAB" w:rsidRDefault="006B5784" w:rsidP="006B5784">
            <w:pPr>
              <w:pStyle w:val="CEPATabletext"/>
              <w:rPr>
                <w:b/>
                <w:color w:val="FFFFFF"/>
                <w:sz w:val="24"/>
              </w:rPr>
            </w:pPr>
            <w:r w:rsidRPr="007E3DAB">
              <w:rPr>
                <w:b/>
                <w:color w:val="FFFFFF"/>
                <w:sz w:val="24"/>
              </w:rPr>
              <w:t>Summary findings:</w:t>
            </w:r>
          </w:p>
          <w:p w14:paraId="6EDB7E49" w14:textId="7DF552AA" w:rsidR="00B758FE" w:rsidRDefault="00236822" w:rsidP="003C6684">
            <w:pPr>
              <w:pStyle w:val="CEPATabletext"/>
              <w:rPr>
                <w:color w:val="FFFFFF"/>
                <w:sz w:val="24"/>
              </w:rPr>
            </w:pPr>
            <w:r w:rsidRPr="007E3DAB">
              <w:rPr>
                <w:color w:val="FFFFFF"/>
                <w:sz w:val="24"/>
              </w:rPr>
              <w:t xml:space="preserve">The procurement of </w:t>
            </w:r>
            <w:r w:rsidR="006D14F7">
              <w:rPr>
                <w:color w:val="FFFFFF"/>
                <w:sz w:val="24"/>
              </w:rPr>
              <w:t xml:space="preserve">diagnostic </w:t>
            </w:r>
            <w:r w:rsidRPr="007E3DAB">
              <w:rPr>
                <w:color w:val="FFFFFF"/>
                <w:sz w:val="24"/>
              </w:rPr>
              <w:t>devices and tests was different from</w:t>
            </w:r>
            <w:r w:rsidR="00DD664B">
              <w:rPr>
                <w:color w:val="FFFFFF"/>
                <w:sz w:val="24"/>
              </w:rPr>
              <w:t xml:space="preserve"> what was</w:t>
            </w:r>
            <w:r w:rsidRPr="007E3DAB">
              <w:rPr>
                <w:color w:val="FFFFFF"/>
                <w:sz w:val="24"/>
              </w:rPr>
              <w:t xml:space="preserve"> plan</w:t>
            </w:r>
            <w:r w:rsidR="00DD664B">
              <w:rPr>
                <w:color w:val="FFFFFF"/>
                <w:sz w:val="24"/>
              </w:rPr>
              <w:t>ned</w:t>
            </w:r>
            <w:r w:rsidRPr="007E3DAB">
              <w:rPr>
                <w:color w:val="FFFFFF"/>
                <w:sz w:val="24"/>
              </w:rPr>
              <w:t xml:space="preserve">, reflecting </w:t>
            </w:r>
            <w:r w:rsidR="003C6684">
              <w:rPr>
                <w:color w:val="FFFFFF"/>
                <w:sz w:val="24"/>
              </w:rPr>
              <w:t xml:space="preserve">delays in pipeline product availability and </w:t>
            </w:r>
            <w:r w:rsidRPr="007E3DAB">
              <w:rPr>
                <w:color w:val="FFFFFF"/>
                <w:sz w:val="24"/>
              </w:rPr>
              <w:t xml:space="preserve">the complex environment in which the grant was conducted, however feedback is very positive in terms of the important role of the project in demonstrating </w:t>
            </w:r>
            <w:r w:rsidR="001049D8">
              <w:rPr>
                <w:color w:val="FFFFFF"/>
                <w:sz w:val="24"/>
              </w:rPr>
              <w:t xml:space="preserve">lab-based </w:t>
            </w:r>
            <w:r w:rsidRPr="007E3DAB">
              <w:rPr>
                <w:color w:val="FFFFFF"/>
                <w:sz w:val="24"/>
              </w:rPr>
              <w:t xml:space="preserve">VL monitoring in particular, and </w:t>
            </w:r>
            <w:r w:rsidR="003C6684">
              <w:rPr>
                <w:color w:val="FFFFFF"/>
                <w:sz w:val="24"/>
              </w:rPr>
              <w:t>POC VL</w:t>
            </w:r>
            <w:r w:rsidR="00B758FE">
              <w:rPr>
                <w:color w:val="FFFFFF"/>
                <w:sz w:val="24"/>
              </w:rPr>
              <w:t>, CD4</w:t>
            </w:r>
            <w:r w:rsidR="003C6684">
              <w:rPr>
                <w:color w:val="FFFFFF"/>
                <w:sz w:val="24"/>
              </w:rPr>
              <w:t xml:space="preserve"> and </w:t>
            </w:r>
            <w:r w:rsidRPr="007E3DAB">
              <w:rPr>
                <w:color w:val="FFFFFF"/>
                <w:sz w:val="24"/>
              </w:rPr>
              <w:t xml:space="preserve">EID testing in a more limited manner. </w:t>
            </w:r>
          </w:p>
          <w:p w14:paraId="0E62DAA4" w14:textId="6F0ADB5C" w:rsidR="006B5784" w:rsidRPr="007E3DAB" w:rsidRDefault="00236822" w:rsidP="001049D8">
            <w:pPr>
              <w:pStyle w:val="CEPATabletext"/>
              <w:rPr>
                <w:color w:val="FFFFFF"/>
                <w:sz w:val="24"/>
              </w:rPr>
            </w:pPr>
            <w:r w:rsidRPr="007E3DAB">
              <w:rPr>
                <w:color w:val="FFFFFF"/>
                <w:sz w:val="24"/>
              </w:rPr>
              <w:t xml:space="preserve">The project has </w:t>
            </w:r>
            <w:r w:rsidR="001049D8">
              <w:rPr>
                <w:color w:val="FFFFFF"/>
                <w:sz w:val="24"/>
              </w:rPr>
              <w:t xml:space="preserve">had produced a substantial evidence-base and </w:t>
            </w:r>
            <w:r w:rsidRPr="007E3DAB">
              <w:rPr>
                <w:color w:val="FFFFFF"/>
                <w:sz w:val="24"/>
              </w:rPr>
              <w:t xml:space="preserve">engaged well at the global level </w:t>
            </w:r>
            <w:r w:rsidR="001049D8">
              <w:rPr>
                <w:color w:val="FFFFFF"/>
                <w:sz w:val="24"/>
              </w:rPr>
              <w:t>in terms of advocacy and dissemination of results, noted by stakeholders as having been well done</w:t>
            </w:r>
            <w:r w:rsidR="003C6684">
              <w:rPr>
                <w:color w:val="FFFFFF"/>
                <w:sz w:val="24"/>
              </w:rPr>
              <w:t xml:space="preserve">. The extent of country level </w:t>
            </w:r>
            <w:r w:rsidR="001049D8">
              <w:rPr>
                <w:color w:val="FFFFFF"/>
                <w:sz w:val="24"/>
              </w:rPr>
              <w:t xml:space="preserve">sharing of evidence/ </w:t>
            </w:r>
            <w:r w:rsidR="003C6684">
              <w:rPr>
                <w:color w:val="FFFFFF"/>
                <w:sz w:val="24"/>
              </w:rPr>
              <w:t>advocacy and dissemination has however varied</w:t>
            </w:r>
            <w:r w:rsidR="00093AD2">
              <w:rPr>
                <w:color w:val="FFFFFF"/>
                <w:sz w:val="24"/>
              </w:rPr>
              <w:t xml:space="preserve"> by country, and </w:t>
            </w:r>
            <w:r w:rsidR="00154445">
              <w:rPr>
                <w:color w:val="FFFFFF"/>
                <w:sz w:val="24"/>
              </w:rPr>
              <w:t xml:space="preserve">the </w:t>
            </w:r>
            <w:r w:rsidR="00B758FE">
              <w:rPr>
                <w:color w:val="FFFFFF"/>
                <w:sz w:val="24"/>
              </w:rPr>
              <w:t>ITPC campaign</w:t>
            </w:r>
            <w:r w:rsidR="008D6BB1">
              <w:rPr>
                <w:color w:val="FFFFFF"/>
                <w:sz w:val="24"/>
              </w:rPr>
              <w:t xml:space="preserve"> </w:t>
            </w:r>
            <w:r w:rsidR="00261DDB">
              <w:rPr>
                <w:color w:val="FFFFFF"/>
                <w:sz w:val="24"/>
              </w:rPr>
              <w:t>may</w:t>
            </w:r>
            <w:r w:rsidR="00093AD2">
              <w:rPr>
                <w:color w:val="FFFFFF"/>
                <w:sz w:val="24"/>
              </w:rPr>
              <w:t xml:space="preserve"> have had </w:t>
            </w:r>
            <w:r w:rsidR="00261DDB">
              <w:rPr>
                <w:color w:val="FFFFFF"/>
                <w:sz w:val="24"/>
              </w:rPr>
              <w:t xml:space="preserve">a larger effect had it </w:t>
            </w:r>
            <w:r w:rsidR="00B758FE">
              <w:rPr>
                <w:color w:val="FFFFFF"/>
                <w:sz w:val="24"/>
              </w:rPr>
              <w:t>been</w:t>
            </w:r>
            <w:r w:rsidR="00261DDB">
              <w:rPr>
                <w:color w:val="FFFFFF"/>
                <w:sz w:val="24"/>
              </w:rPr>
              <w:t xml:space="preserve"> introduced earlier</w:t>
            </w:r>
            <w:r w:rsidR="003C6684">
              <w:rPr>
                <w:color w:val="FFFFFF"/>
                <w:sz w:val="24"/>
              </w:rPr>
              <w:t xml:space="preserve">. </w:t>
            </w:r>
          </w:p>
        </w:tc>
      </w:tr>
    </w:tbl>
    <w:p w14:paraId="1CD8B5DD" w14:textId="4976EDAB" w:rsidR="008E278A" w:rsidRDefault="008E278A" w:rsidP="008E278A">
      <w:pPr>
        <w:pStyle w:val="Heading2"/>
        <w:numPr>
          <w:ilvl w:val="1"/>
          <w:numId w:val="2"/>
        </w:numPr>
      </w:pPr>
      <w:bookmarkStart w:id="328" w:name="_Toc500445651"/>
      <w:bookmarkStart w:id="329" w:name="_Toc500503129"/>
      <w:bookmarkStart w:id="330" w:name="_Toc500508112"/>
      <w:bookmarkStart w:id="331" w:name="_Toc500512840"/>
      <w:bookmarkStart w:id="332" w:name="_Toc500517766"/>
      <w:bookmarkStart w:id="333" w:name="_Toc500519581"/>
      <w:bookmarkStart w:id="334" w:name="_Toc500524428"/>
      <w:bookmarkStart w:id="335" w:name="_Toc506417400"/>
      <w:bookmarkStart w:id="336" w:name="_Toc515359224"/>
      <w:r>
        <w:t xml:space="preserve">Country </w:t>
      </w:r>
      <w:bookmarkEnd w:id="328"/>
      <w:bookmarkEnd w:id="329"/>
      <w:bookmarkEnd w:id="330"/>
      <w:bookmarkEnd w:id="331"/>
      <w:bookmarkEnd w:id="332"/>
      <w:bookmarkEnd w:id="333"/>
      <w:bookmarkEnd w:id="334"/>
      <w:bookmarkEnd w:id="335"/>
      <w:r w:rsidR="00B6205B">
        <w:t>case studies and summary experience</w:t>
      </w:r>
      <w:bookmarkEnd w:id="336"/>
      <w:r w:rsidR="00B6205B">
        <w:t xml:space="preserve"> </w:t>
      </w:r>
      <w:r>
        <w:t xml:space="preserve"> </w:t>
      </w:r>
    </w:p>
    <w:p w14:paraId="237B0569" w14:textId="40170956" w:rsidR="00573B0E" w:rsidRDefault="008E278A" w:rsidP="00573B0E">
      <w:pPr>
        <w:pStyle w:val="CEPAReportText"/>
      </w:pPr>
      <w:r>
        <w:t>This section focuses on an assessment of the MSF work in country – what was done, what were areas of success and key challenges</w:t>
      </w:r>
      <w:r w:rsidR="00C15630">
        <w:t>,</w:t>
      </w:r>
      <w:r>
        <w:t xml:space="preserve"> and issues remaining. The</w:t>
      </w:r>
      <w:bookmarkEnd w:id="323"/>
      <w:bookmarkEnd w:id="324"/>
      <w:bookmarkEnd w:id="325"/>
      <w:bookmarkEnd w:id="326"/>
      <w:bookmarkEnd w:id="327"/>
      <w:r w:rsidR="00573B0E">
        <w:t xml:space="preserve"> evaluation question is as follows: </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573B0E" w:rsidRPr="00B943ED" w14:paraId="1A9BF300" w14:textId="77777777" w:rsidTr="003E0108">
        <w:trPr>
          <w:trHeight w:val="503"/>
          <w:tblHeader/>
        </w:trPr>
        <w:tc>
          <w:tcPr>
            <w:tcW w:w="5000" w:type="pct"/>
            <w:shd w:val="solid" w:color="4B86CD" w:fill="auto"/>
          </w:tcPr>
          <w:p w14:paraId="418B5DD8" w14:textId="33A41832" w:rsidR="00E00CEB" w:rsidRPr="00E00CEB" w:rsidRDefault="00483F9F" w:rsidP="00846486">
            <w:pPr>
              <w:pStyle w:val="CEPATabletext"/>
              <w:numPr>
                <w:ilvl w:val="0"/>
                <w:numId w:val="9"/>
              </w:numPr>
              <w:rPr>
                <w:b/>
                <w:color w:val="FFFFFF"/>
                <w:sz w:val="24"/>
              </w:rPr>
            </w:pPr>
            <w:r w:rsidRPr="00E00CEB">
              <w:rPr>
                <w:b/>
                <w:color w:val="FFFFFF"/>
                <w:sz w:val="24"/>
              </w:rPr>
              <w:t>What were key successes and challenges in introduction of the respective diagnostic technologies across project sites/ countries? Have there been financial and health systems efficiencies?</w:t>
            </w:r>
          </w:p>
        </w:tc>
      </w:tr>
    </w:tbl>
    <w:p w14:paraId="1C9BB24C" w14:textId="77777777" w:rsidR="008E278A" w:rsidRDefault="008E278A" w:rsidP="008E278A">
      <w:pPr>
        <w:pStyle w:val="CEPAReportText"/>
      </w:pPr>
      <w:r>
        <w:t xml:space="preserve">The focus of our review is on the two field visit countries – Malawi (encompassing two different MSF programmes in the Chiradzulu and Thyolo districts) and Zimbabwe. We present each of the experiences in turn below, before summarising the overall experience, also selectively considering other project country experiences described in the annual progress reports and shared during our telephone consultations (particularly with MSF). Annex F collates progress reported in the annual reports across the nine project countries. </w:t>
      </w:r>
    </w:p>
    <w:p w14:paraId="4716D42E" w14:textId="535AD4F4" w:rsidR="00723066" w:rsidRDefault="00723066" w:rsidP="00262B47">
      <w:pPr>
        <w:pStyle w:val="Heading3"/>
        <w:rPr>
          <w:lang w:val="en-US"/>
        </w:rPr>
      </w:pPr>
      <w:r>
        <w:rPr>
          <w:lang w:val="en-US"/>
        </w:rPr>
        <w:t>MSF programme in Malawi – Chiradzulu</w:t>
      </w:r>
    </w:p>
    <w:p w14:paraId="51D6C852" w14:textId="3389B331" w:rsidR="00723066" w:rsidRDefault="00723066" w:rsidP="00723066">
      <w:pPr>
        <w:pStyle w:val="CEPAReportText"/>
        <w:rPr>
          <w:lang w:val="en-US"/>
        </w:rPr>
      </w:pPr>
      <w:r>
        <w:rPr>
          <w:lang w:val="en-US"/>
        </w:rPr>
        <w:t xml:space="preserve">The MSF programme in Malawi Chiradzulu was implemented by </w:t>
      </w:r>
      <w:r w:rsidR="00C20A6D">
        <w:rPr>
          <w:lang w:val="en-US"/>
        </w:rPr>
        <w:t>MSF OCP</w:t>
      </w:r>
      <w:r w:rsidR="00913556">
        <w:rPr>
          <w:lang w:val="en-US"/>
        </w:rPr>
        <w:t xml:space="preserve"> </w:t>
      </w:r>
      <w:r>
        <w:rPr>
          <w:lang w:val="en-US"/>
        </w:rPr>
        <w:t xml:space="preserve">from 2013 and encompassed POC CD4 and VL testing in health </w:t>
      </w:r>
      <w:r w:rsidR="00BC6B8E">
        <w:rPr>
          <w:lang w:val="en-US"/>
        </w:rPr>
        <w:t>centre</w:t>
      </w:r>
      <w:r w:rsidR="00911639">
        <w:rPr>
          <w:lang w:val="en-US"/>
        </w:rPr>
        <w:t>s</w:t>
      </w:r>
      <w:r>
        <w:rPr>
          <w:lang w:val="en-US"/>
        </w:rPr>
        <w:t xml:space="preserve"> and the district hospital.</w:t>
      </w:r>
    </w:p>
    <w:p w14:paraId="194B1E1D" w14:textId="77777777" w:rsidR="008E278A" w:rsidRDefault="00723066" w:rsidP="008E278A">
      <w:pPr>
        <w:pStyle w:val="CEPAReportText"/>
        <w:rPr>
          <w:lang w:val="en-US"/>
        </w:rPr>
      </w:pPr>
      <w:r>
        <w:rPr>
          <w:lang w:val="en-US"/>
        </w:rPr>
        <w:t xml:space="preserve">With regards to </w:t>
      </w:r>
      <w:r>
        <w:rPr>
          <w:b/>
          <w:lang w:val="en-US"/>
        </w:rPr>
        <w:t>CD4 testing</w:t>
      </w:r>
      <w:r w:rsidR="008E278A">
        <w:rPr>
          <w:lang w:val="en-US"/>
        </w:rPr>
        <w:t>:</w:t>
      </w:r>
    </w:p>
    <w:p w14:paraId="71CEEF76" w14:textId="77777777" w:rsidR="008E278A" w:rsidRDefault="008E278A" w:rsidP="008E278A">
      <w:pPr>
        <w:pStyle w:val="CEPABullets"/>
        <w:rPr>
          <w:lang w:val="en-US"/>
        </w:rPr>
      </w:pPr>
      <w:r>
        <w:rPr>
          <w:lang w:val="en-US"/>
        </w:rPr>
        <w:t>This</w:t>
      </w:r>
      <w:r w:rsidR="00723066">
        <w:rPr>
          <w:lang w:val="en-US"/>
        </w:rPr>
        <w:t xml:space="preserve"> was conducted using the PIMA machine until 2016. A total of 11 machines were purchased under the project, with 16,084 tests conducted as per the 2016 annual report, representing the second largest testing for CD4 under the project.</w:t>
      </w:r>
      <w:r w:rsidR="00723066">
        <w:rPr>
          <w:rStyle w:val="FootnoteReference"/>
          <w:lang w:val="en-US"/>
        </w:rPr>
        <w:footnoteReference w:id="44"/>
      </w:r>
      <w:r w:rsidR="00723066">
        <w:rPr>
          <w:lang w:val="en-US"/>
        </w:rPr>
        <w:t xml:space="preserve"> </w:t>
      </w:r>
    </w:p>
    <w:p w14:paraId="37CFC2F0" w14:textId="2035E038" w:rsidR="00723066" w:rsidRDefault="00723066" w:rsidP="008E278A">
      <w:pPr>
        <w:pStyle w:val="CEPABullets"/>
        <w:rPr>
          <w:lang w:val="en-US"/>
        </w:rPr>
      </w:pPr>
      <w:r>
        <w:rPr>
          <w:lang w:val="en-US"/>
        </w:rPr>
        <w:t xml:space="preserve">Thereafter, Malawi moved to a “test and treat” protocol and phased out routine CD4 testing. MSF performed CD4 tests until the implementation of the new guidelines was completed and the machines are still kept at disposal for research purposes and targeted CD4 tests. Three machines have been retained </w:t>
      </w:r>
      <w:r w:rsidR="002D585C">
        <w:rPr>
          <w:lang w:val="en-US"/>
        </w:rPr>
        <w:t xml:space="preserve">at </w:t>
      </w:r>
      <w:r>
        <w:rPr>
          <w:lang w:val="en-US"/>
        </w:rPr>
        <w:t xml:space="preserve">the sites, with the plan to potentially shift the others to Uganda. </w:t>
      </w:r>
    </w:p>
    <w:p w14:paraId="3876402A" w14:textId="1B39FD74" w:rsidR="00723066" w:rsidRPr="00B77572" w:rsidRDefault="00723066" w:rsidP="00723066">
      <w:pPr>
        <w:pStyle w:val="CEPAReportText"/>
      </w:pPr>
      <w:r>
        <w:rPr>
          <w:lang w:val="en-US"/>
        </w:rPr>
        <w:t xml:space="preserve">The main emphasis of the MSF programme was however </w:t>
      </w:r>
      <w:r>
        <w:rPr>
          <w:b/>
          <w:lang w:val="en-US"/>
        </w:rPr>
        <w:t>VL testing</w:t>
      </w:r>
      <w:r>
        <w:rPr>
          <w:lang w:val="en-US"/>
        </w:rPr>
        <w:t xml:space="preserve">, where the work conducted in the Chiradzulu site represented one of the few </w:t>
      </w:r>
      <w:r w:rsidR="007F4E80">
        <w:rPr>
          <w:lang w:val="en-US"/>
        </w:rPr>
        <w:t>near-</w:t>
      </w:r>
      <w:r w:rsidR="008E278A">
        <w:rPr>
          <w:lang w:val="en-US"/>
        </w:rPr>
        <w:t>POC VL testings</w:t>
      </w:r>
      <w:r>
        <w:rPr>
          <w:lang w:val="en-US"/>
        </w:rPr>
        <w:t xml:space="preserve"> under the project</w:t>
      </w:r>
      <w:r w:rsidR="008E278A">
        <w:rPr>
          <w:lang w:val="en-US"/>
        </w:rPr>
        <w:t>.</w:t>
      </w:r>
      <w:r w:rsidRPr="00B14E9F">
        <w:t xml:space="preserve"> </w:t>
      </w:r>
      <w:r w:rsidRPr="00B77572">
        <w:rPr>
          <w:lang w:val="en-US"/>
        </w:rPr>
        <w:t xml:space="preserve">This was conducted using the SAMBA I platform, which was the first POC platform for VL testing available on the market. Six SAMBA I machines were </w:t>
      </w:r>
      <w:r w:rsidR="00A764C6">
        <w:rPr>
          <w:lang w:val="en-US"/>
        </w:rPr>
        <w:t>purchased and</w:t>
      </w:r>
      <w:r w:rsidRPr="00B77572">
        <w:rPr>
          <w:lang w:val="en-US"/>
        </w:rPr>
        <w:t xml:space="preserve"> deployed across five locations within </w:t>
      </w:r>
      <w:r w:rsidR="00B61C4F">
        <w:rPr>
          <w:lang w:val="en-US"/>
        </w:rPr>
        <w:t>MOH</w:t>
      </w:r>
      <w:r w:rsidRPr="00B77572">
        <w:rPr>
          <w:lang w:val="en-US"/>
        </w:rPr>
        <w:t xml:space="preserve"> </w:t>
      </w:r>
      <w:r w:rsidR="00BC6B8E">
        <w:rPr>
          <w:lang w:val="en-US"/>
        </w:rPr>
        <w:t>centre</w:t>
      </w:r>
      <w:r w:rsidR="00911639" w:rsidRPr="00B77572">
        <w:rPr>
          <w:lang w:val="en-US"/>
        </w:rPr>
        <w:t>s</w:t>
      </w:r>
      <w:r w:rsidRPr="00B77572">
        <w:rPr>
          <w:lang w:val="en-US"/>
        </w:rPr>
        <w:t xml:space="preserve"> in the district with the following key activities in support of the testing programme:</w:t>
      </w:r>
    </w:p>
    <w:p w14:paraId="2B884FF8" w14:textId="2245C44D" w:rsidR="00723066" w:rsidRDefault="00723066" w:rsidP="00723066">
      <w:pPr>
        <w:pStyle w:val="CEPABullets"/>
        <w:rPr>
          <w:lang w:val="en-US"/>
        </w:rPr>
      </w:pPr>
      <w:r>
        <w:rPr>
          <w:b/>
          <w:lang w:val="en-US"/>
        </w:rPr>
        <w:t xml:space="preserve">Provision of supporting infrastructure </w:t>
      </w:r>
      <w:r>
        <w:rPr>
          <w:lang w:val="en-US"/>
        </w:rPr>
        <w:t xml:space="preserve">– </w:t>
      </w:r>
      <w:r w:rsidR="008E278A">
        <w:rPr>
          <w:lang w:val="en-US"/>
        </w:rPr>
        <w:t>in addition to the diagnostic equipment itself, MSF support included related</w:t>
      </w:r>
      <w:r>
        <w:rPr>
          <w:lang w:val="en-US"/>
        </w:rPr>
        <w:t xml:space="preserve"> laboratory infrastructure support such as back-up power supply.</w:t>
      </w:r>
    </w:p>
    <w:p w14:paraId="2770A63A" w14:textId="354C3D02" w:rsidR="00723066" w:rsidRDefault="00723066" w:rsidP="008E278A">
      <w:pPr>
        <w:pStyle w:val="CEPABullets"/>
      </w:pPr>
      <w:r w:rsidRPr="00D554E8">
        <w:rPr>
          <w:b/>
          <w:lang w:val="en-US"/>
        </w:rPr>
        <w:t xml:space="preserve">Training and related task shifting </w:t>
      </w:r>
      <w:r w:rsidRPr="00D554E8">
        <w:rPr>
          <w:lang w:val="en-US"/>
        </w:rPr>
        <w:t xml:space="preserve">– MSF supported training, refresher courses and paid for examinations for </w:t>
      </w:r>
      <w:r w:rsidR="00B61C4F">
        <w:rPr>
          <w:lang w:val="en-US"/>
        </w:rPr>
        <w:t>MOH</w:t>
      </w:r>
      <w:r>
        <w:rPr>
          <w:lang w:val="en-US"/>
        </w:rPr>
        <w:t xml:space="preserve"> </w:t>
      </w:r>
      <w:r w:rsidRPr="00D554E8">
        <w:rPr>
          <w:lang w:val="en-US"/>
        </w:rPr>
        <w:t xml:space="preserve">clinical staff to become approved second line providers. MSF also trained </w:t>
      </w:r>
      <w:r w:rsidR="00B61C4F">
        <w:rPr>
          <w:lang w:val="en-US"/>
        </w:rPr>
        <w:t>MOH</w:t>
      </w:r>
      <w:r>
        <w:rPr>
          <w:lang w:val="en-US"/>
        </w:rPr>
        <w:t xml:space="preserve"> </w:t>
      </w:r>
      <w:r w:rsidRPr="00D554E8">
        <w:rPr>
          <w:lang w:val="en-US"/>
        </w:rPr>
        <w:t xml:space="preserve">community workers </w:t>
      </w:r>
      <w:r w:rsidRPr="006935C6">
        <w:rPr>
          <w:lang w:val="en-US"/>
        </w:rPr>
        <w:t xml:space="preserve">and MSF </w:t>
      </w:r>
      <w:r w:rsidRPr="006935C6">
        <w:t xml:space="preserve">lab technicians and demonstrated that community workers could be trained to conducting the testing. </w:t>
      </w:r>
      <w:r>
        <w:t xml:space="preserve">Further, MSF also trained </w:t>
      </w:r>
      <w:r w:rsidR="0010151C" w:rsidRPr="0010151C">
        <w:t xml:space="preserve">Health Surveillance Assistants </w:t>
      </w:r>
      <w:r>
        <w:t xml:space="preserve">to </w:t>
      </w:r>
      <w:r w:rsidR="00F54331">
        <w:t>conduct</w:t>
      </w:r>
      <w:r>
        <w:t xml:space="preserve"> counselling. </w:t>
      </w:r>
    </w:p>
    <w:p w14:paraId="572712B4" w14:textId="32CE3671" w:rsidR="008E278A" w:rsidRDefault="008E278A" w:rsidP="008E278A">
      <w:pPr>
        <w:pStyle w:val="CEPABullets"/>
        <w:rPr>
          <w:lang w:val="en-US"/>
        </w:rPr>
      </w:pPr>
      <w:r>
        <w:rPr>
          <w:b/>
          <w:lang w:val="en-US"/>
        </w:rPr>
        <w:t xml:space="preserve">Demand generation/ awareness campaigns </w:t>
      </w:r>
      <w:r>
        <w:rPr>
          <w:lang w:val="en-US"/>
        </w:rPr>
        <w:t>were conducted by MSF, working alongside CSOs</w:t>
      </w:r>
      <w:r w:rsidR="00E611D7">
        <w:rPr>
          <w:lang w:val="en-US"/>
        </w:rPr>
        <w:t xml:space="preserve"> who support PLHIV</w:t>
      </w:r>
      <w:r>
        <w:rPr>
          <w:lang w:val="en-US"/>
        </w:rPr>
        <w:t xml:space="preserve"> in the district.</w:t>
      </w:r>
    </w:p>
    <w:p w14:paraId="1C5D63E9" w14:textId="084792EF" w:rsidR="00723066" w:rsidRDefault="00723066" w:rsidP="00723066">
      <w:pPr>
        <w:pStyle w:val="CEPABullets"/>
      </w:pPr>
      <w:r w:rsidRPr="00D554E8">
        <w:rPr>
          <w:b/>
        </w:rPr>
        <w:t>Provision of EAC and psychosocial counselling</w:t>
      </w:r>
      <w:r>
        <w:t xml:space="preserve"> – also providing mentorship to </w:t>
      </w:r>
      <w:r w:rsidR="008E4915">
        <w:t xml:space="preserve">PLHIV </w:t>
      </w:r>
      <w:r>
        <w:t>w</w:t>
      </w:r>
      <w:r w:rsidR="00716E4B">
        <w:t>ho were responding well to treatment</w:t>
      </w:r>
      <w:r>
        <w:t xml:space="preserve">. </w:t>
      </w:r>
    </w:p>
    <w:p w14:paraId="45CEA90D" w14:textId="672D48D3" w:rsidR="00723066" w:rsidRDefault="00723066" w:rsidP="00723066">
      <w:pPr>
        <w:pStyle w:val="CEPAReportText"/>
        <w:rPr>
          <w:lang w:val="en-US"/>
        </w:rPr>
      </w:pPr>
      <w:r>
        <w:rPr>
          <w:lang w:val="en-US"/>
        </w:rPr>
        <w:t xml:space="preserve">Table </w:t>
      </w:r>
      <w:r w:rsidR="006E2513">
        <w:rPr>
          <w:lang w:val="en-US"/>
        </w:rPr>
        <w:t>3.</w:t>
      </w:r>
      <w:r w:rsidR="0028586E">
        <w:rPr>
          <w:lang w:val="en-US"/>
        </w:rPr>
        <w:t>4</w:t>
      </w:r>
      <w:r>
        <w:rPr>
          <w:lang w:val="en-US"/>
        </w:rPr>
        <w:t xml:space="preserve"> presents the feedback received from country stakeholders on the working of the SAMBA I platform in Chiradzulu, in terms of </w:t>
      </w:r>
      <w:r w:rsidR="008E278A">
        <w:rPr>
          <w:lang w:val="en-US"/>
        </w:rPr>
        <w:t>positive</w:t>
      </w:r>
      <w:r>
        <w:rPr>
          <w:lang w:val="en-US"/>
        </w:rPr>
        <w:t xml:space="preserve"> and </w:t>
      </w:r>
      <w:r w:rsidR="008E278A">
        <w:rPr>
          <w:lang w:val="en-US"/>
        </w:rPr>
        <w:t>negative attributes</w:t>
      </w:r>
      <w:r>
        <w:rPr>
          <w:lang w:val="en-US"/>
        </w:rPr>
        <w:t>.</w:t>
      </w:r>
    </w:p>
    <w:p w14:paraId="4AE67DB4" w14:textId="24581038" w:rsidR="008E278A" w:rsidRPr="0018207B" w:rsidRDefault="008E278A" w:rsidP="008E278A">
      <w:pPr>
        <w:pStyle w:val="CEPADiagramLabel"/>
      </w:pPr>
      <w:r>
        <w:t xml:space="preserve">Table </w:t>
      </w:r>
      <w:r w:rsidR="006E2513">
        <w:t>3.</w:t>
      </w:r>
      <w:r w:rsidR="0028586E">
        <w:t>4</w:t>
      </w:r>
      <w:r>
        <w:t xml:space="preserve">: Positive and negative </w:t>
      </w:r>
      <w:r w:rsidR="00116537">
        <w:t>attributes</w:t>
      </w:r>
      <w:r>
        <w:t xml:space="preserve"> with the SAMBA I POC device in Chiradzulu, Malawi</w:t>
      </w:r>
      <w:r w:rsidR="00EA6273">
        <w:rPr>
          <w:rStyle w:val="FootnoteReference"/>
        </w:rPr>
        <w:footnoteReference w:id="45"/>
      </w:r>
    </w:p>
    <w:tbl>
      <w:tblPr>
        <w:tblStyle w:val="TableGrid"/>
        <w:tblW w:w="4955"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467"/>
        <w:gridCol w:w="4468"/>
      </w:tblGrid>
      <w:tr w:rsidR="008E278A" w14:paraId="28CE69A8" w14:textId="77777777" w:rsidTr="008E278A">
        <w:trPr>
          <w:trHeight w:val="358"/>
          <w:tblHeader/>
        </w:trPr>
        <w:tc>
          <w:tcPr>
            <w:tcW w:w="2500" w:type="pct"/>
            <w:shd w:val="solid" w:color="4B86CD" w:fill="auto"/>
          </w:tcPr>
          <w:p w14:paraId="07714633" w14:textId="77777777" w:rsidR="008E278A" w:rsidRPr="0018207B" w:rsidRDefault="008E278A" w:rsidP="008E278A">
            <w:pPr>
              <w:pStyle w:val="CEPATabletext"/>
              <w:rPr>
                <w:b/>
                <w:color w:val="FFFFFF"/>
              </w:rPr>
            </w:pPr>
            <w:r>
              <w:rPr>
                <w:b/>
                <w:color w:val="FFFFFF"/>
              </w:rPr>
              <w:t>Positive attributes</w:t>
            </w:r>
          </w:p>
        </w:tc>
        <w:tc>
          <w:tcPr>
            <w:tcW w:w="2500" w:type="pct"/>
            <w:shd w:val="solid" w:color="4B86CD" w:fill="auto"/>
          </w:tcPr>
          <w:p w14:paraId="1F9EC3E8" w14:textId="77777777" w:rsidR="008E278A" w:rsidRPr="0018207B" w:rsidRDefault="008E278A" w:rsidP="008E278A">
            <w:pPr>
              <w:pStyle w:val="CEPATabletext"/>
              <w:rPr>
                <w:b/>
                <w:color w:val="FFFFFF"/>
              </w:rPr>
            </w:pPr>
            <w:r>
              <w:rPr>
                <w:b/>
                <w:color w:val="FFFFFF"/>
              </w:rPr>
              <w:t>Negative attributes</w:t>
            </w:r>
          </w:p>
        </w:tc>
      </w:tr>
      <w:tr w:rsidR="008E278A" w14:paraId="0D4C6CDD" w14:textId="77777777" w:rsidTr="008E278A">
        <w:trPr>
          <w:trHeight w:val="358"/>
        </w:trPr>
        <w:tc>
          <w:tcPr>
            <w:tcW w:w="2500" w:type="pct"/>
          </w:tcPr>
          <w:p w14:paraId="11B82BB9" w14:textId="77777777" w:rsidR="008E278A" w:rsidRDefault="008E278A" w:rsidP="00846486">
            <w:pPr>
              <w:pStyle w:val="CEPATabletext"/>
              <w:numPr>
                <w:ilvl w:val="0"/>
                <w:numId w:val="11"/>
              </w:numPr>
              <w:ind w:left="157" w:hanging="180"/>
            </w:pPr>
            <w:r>
              <w:rPr>
                <w:b/>
              </w:rPr>
              <w:t xml:space="preserve">Public health impact: </w:t>
            </w:r>
            <w:r>
              <w:t>Rapid availability of results, which can be provided within two hours</w:t>
            </w:r>
          </w:p>
          <w:p w14:paraId="61721BF1" w14:textId="77777777" w:rsidR="008E278A" w:rsidRDefault="008E278A" w:rsidP="00846486">
            <w:pPr>
              <w:pStyle w:val="CEPATabletext"/>
              <w:numPr>
                <w:ilvl w:val="0"/>
                <w:numId w:val="11"/>
              </w:numPr>
              <w:ind w:left="157" w:hanging="180"/>
            </w:pPr>
            <w:r>
              <w:rPr>
                <w:b/>
              </w:rPr>
              <w:t xml:space="preserve">Public health impact: </w:t>
            </w:r>
            <w:r>
              <w:t>Simple clinical decision making</w:t>
            </w:r>
          </w:p>
          <w:p w14:paraId="71A6CE2E" w14:textId="77777777" w:rsidR="008E278A" w:rsidRDefault="008E278A" w:rsidP="00846486">
            <w:pPr>
              <w:pStyle w:val="CEPATabletext"/>
              <w:numPr>
                <w:ilvl w:val="0"/>
                <w:numId w:val="11"/>
              </w:numPr>
              <w:ind w:left="157" w:hanging="180"/>
            </w:pPr>
            <w:r>
              <w:rPr>
                <w:b/>
              </w:rPr>
              <w:t xml:space="preserve">Use: </w:t>
            </w:r>
            <w:r>
              <w:t xml:space="preserve">Good quality platform, which is easy to use and requires little maintenance </w:t>
            </w:r>
          </w:p>
          <w:p w14:paraId="2740AE8D" w14:textId="30ECE28C" w:rsidR="008E278A" w:rsidRDefault="008E278A" w:rsidP="00846486">
            <w:pPr>
              <w:pStyle w:val="CEPATabletext"/>
              <w:numPr>
                <w:ilvl w:val="0"/>
                <w:numId w:val="11"/>
              </w:numPr>
              <w:ind w:left="157" w:hanging="180"/>
            </w:pPr>
            <w:r>
              <w:rPr>
                <w:b/>
              </w:rPr>
              <w:t>Use:</w:t>
            </w:r>
            <w:r>
              <w:t xml:space="preserve"> Less need for sample transport</w:t>
            </w:r>
            <w:r w:rsidR="007B091B">
              <w:t xml:space="preserve"> in comparison to laboratory-based devic</w:t>
            </w:r>
            <w:r w:rsidR="00E61AD6">
              <w:t>es</w:t>
            </w:r>
            <w:r>
              <w:t xml:space="preserve"> as the platforms were POC</w:t>
            </w:r>
          </w:p>
          <w:p w14:paraId="77752A2A" w14:textId="0706D16E" w:rsidR="008E278A" w:rsidRDefault="008E278A" w:rsidP="00846486">
            <w:pPr>
              <w:pStyle w:val="CEPATabletext"/>
              <w:numPr>
                <w:ilvl w:val="0"/>
                <w:numId w:val="11"/>
              </w:numPr>
              <w:ind w:left="157" w:hanging="180"/>
            </w:pPr>
            <w:r>
              <w:rPr>
                <w:b/>
              </w:rPr>
              <w:t xml:space="preserve">Use: </w:t>
            </w:r>
            <w:r>
              <w:t>No need for cold-chain transport, as reagents are stable for 9 months at 2-37°C</w:t>
            </w:r>
          </w:p>
        </w:tc>
        <w:tc>
          <w:tcPr>
            <w:tcW w:w="2500" w:type="pct"/>
          </w:tcPr>
          <w:p w14:paraId="6FB2D4A5" w14:textId="77777777" w:rsidR="008E278A" w:rsidRDefault="008E278A" w:rsidP="00846486">
            <w:pPr>
              <w:pStyle w:val="CEPATabletext"/>
              <w:numPr>
                <w:ilvl w:val="0"/>
                <w:numId w:val="11"/>
              </w:numPr>
              <w:ind w:left="157" w:hanging="180"/>
            </w:pPr>
            <w:r>
              <w:rPr>
                <w:b/>
              </w:rPr>
              <w:t xml:space="preserve">Public health impact: </w:t>
            </w:r>
            <w:r>
              <w:t>Could only test for VL, with results indicating &lt; or &gt; 1000 copies/ml</w:t>
            </w:r>
          </w:p>
          <w:p w14:paraId="3A949E00" w14:textId="77777777" w:rsidR="008E278A" w:rsidRDefault="008E278A" w:rsidP="00846486">
            <w:pPr>
              <w:pStyle w:val="CEPATabletext"/>
              <w:numPr>
                <w:ilvl w:val="0"/>
                <w:numId w:val="11"/>
              </w:numPr>
              <w:ind w:left="157" w:hanging="180"/>
            </w:pPr>
            <w:r>
              <w:rPr>
                <w:b/>
              </w:rPr>
              <w:t xml:space="preserve">Public health impact: </w:t>
            </w:r>
            <w:r>
              <w:t>Cannot</w:t>
            </w:r>
            <w:r w:rsidRPr="00333852">
              <w:t xml:space="preserve"> be used for </w:t>
            </w:r>
            <w:r>
              <w:t xml:space="preserve">children </w:t>
            </w:r>
            <w:r w:rsidRPr="00333852">
              <w:t>&lt;</w:t>
            </w:r>
            <w:r>
              <w:t xml:space="preserve"> </w:t>
            </w:r>
            <w:r w:rsidRPr="00333852">
              <w:t>age 7</w:t>
            </w:r>
          </w:p>
          <w:p w14:paraId="727E3ABE" w14:textId="77777777" w:rsidR="008E278A" w:rsidRPr="00B77572" w:rsidRDefault="008E278A" w:rsidP="00846486">
            <w:pPr>
              <w:pStyle w:val="CEPATabletext"/>
              <w:numPr>
                <w:ilvl w:val="0"/>
                <w:numId w:val="11"/>
              </w:numPr>
              <w:ind w:left="157" w:hanging="180"/>
            </w:pPr>
            <w:r>
              <w:rPr>
                <w:b/>
              </w:rPr>
              <w:t xml:space="preserve">Use: </w:t>
            </w:r>
            <w:r>
              <w:t>Sample collection required is plasma</w:t>
            </w:r>
            <w:r>
              <w:rPr>
                <w:b/>
              </w:rPr>
              <w:t xml:space="preserve"> </w:t>
            </w:r>
          </w:p>
          <w:p w14:paraId="6FA07592" w14:textId="77777777" w:rsidR="008E278A" w:rsidRDefault="008E278A" w:rsidP="00846486">
            <w:pPr>
              <w:pStyle w:val="CEPATabletext"/>
              <w:numPr>
                <w:ilvl w:val="0"/>
                <w:numId w:val="11"/>
              </w:numPr>
              <w:ind w:left="157" w:hanging="180"/>
            </w:pPr>
            <w:r>
              <w:rPr>
                <w:b/>
              </w:rPr>
              <w:t xml:space="preserve">Use: </w:t>
            </w:r>
            <w:r>
              <w:t>Labour intensive testing, with three separate stages to manage within two hours</w:t>
            </w:r>
          </w:p>
          <w:p w14:paraId="79CB4744" w14:textId="77777777" w:rsidR="008E278A" w:rsidRDefault="008E278A" w:rsidP="00846486">
            <w:pPr>
              <w:pStyle w:val="CEPATabletext"/>
              <w:numPr>
                <w:ilvl w:val="0"/>
                <w:numId w:val="11"/>
              </w:numPr>
              <w:ind w:left="157" w:hanging="180"/>
            </w:pPr>
            <w:r>
              <w:rPr>
                <w:b/>
              </w:rPr>
              <w:t xml:space="preserve">Use: </w:t>
            </w:r>
            <w:r>
              <w:t>Maximum capacity of 30 tests per day</w:t>
            </w:r>
          </w:p>
          <w:p w14:paraId="62EB3FD5" w14:textId="77777777" w:rsidR="008E278A" w:rsidRDefault="008E278A" w:rsidP="00846486">
            <w:pPr>
              <w:pStyle w:val="CEPATabletext"/>
              <w:numPr>
                <w:ilvl w:val="0"/>
                <w:numId w:val="11"/>
              </w:numPr>
              <w:ind w:left="157" w:hanging="180"/>
            </w:pPr>
            <w:r>
              <w:rPr>
                <w:b/>
                <w:lang w:val="en-US"/>
              </w:rPr>
              <w:t xml:space="preserve">Market: </w:t>
            </w:r>
            <w:r>
              <w:t>Risk and inefficiencies with small manufacturer, e.g. reagent supply delays, sent in batches which each incur transport fees</w:t>
            </w:r>
          </w:p>
          <w:p w14:paraId="0679E4D5" w14:textId="6A08658E" w:rsidR="007B091B" w:rsidRDefault="007B091B" w:rsidP="00846486">
            <w:pPr>
              <w:pStyle w:val="CEPATabletext"/>
              <w:numPr>
                <w:ilvl w:val="0"/>
                <w:numId w:val="11"/>
              </w:numPr>
              <w:ind w:left="157" w:hanging="180"/>
            </w:pPr>
            <w:r>
              <w:rPr>
                <w:b/>
              </w:rPr>
              <w:t xml:space="preserve">Costs: </w:t>
            </w:r>
            <w:r>
              <w:t>Costly testing approach – initial costs per test were US$45, and then reduced to US$38</w:t>
            </w:r>
            <w:r w:rsidR="00A86536">
              <w:rPr>
                <w:rStyle w:val="FootnoteReference"/>
              </w:rPr>
              <w:footnoteReference w:id="46"/>
            </w:r>
          </w:p>
        </w:tc>
      </w:tr>
    </w:tbl>
    <w:p w14:paraId="10977CF1" w14:textId="77777777" w:rsidR="00723066" w:rsidRPr="00FF71FC" w:rsidRDefault="008E278A" w:rsidP="00071463">
      <w:pPr>
        <w:pStyle w:val="CEPAReportText"/>
        <w:rPr>
          <w:color w:val="FFFFFF"/>
        </w:rPr>
      </w:pPr>
      <w:r w:rsidRPr="00FF71FC">
        <w:rPr>
          <w:lang w:val="en-US"/>
        </w:rPr>
        <w:t xml:space="preserve">Our consultations in Malawi indicated that the programme as a whole worked well. </w:t>
      </w:r>
    </w:p>
    <w:p w14:paraId="3267ABEA" w14:textId="77777777" w:rsidR="00723066" w:rsidRDefault="00723066" w:rsidP="00723066">
      <w:pPr>
        <w:pStyle w:val="CEPAReportText"/>
        <w:rPr>
          <w:lang w:val="en-US"/>
        </w:rPr>
      </w:pPr>
      <w:r w:rsidRPr="002619C0">
        <w:rPr>
          <w:b/>
          <w:lang w:val="en-US"/>
        </w:rPr>
        <w:t>The main aim of the project was to prove the feasibility and benefits of POC VL testing, which was well achieved.</w:t>
      </w:r>
      <w:r>
        <w:rPr>
          <w:lang w:val="en-US"/>
        </w:rPr>
        <w:t xml:space="preserve"> Country stakeholders </w:t>
      </w:r>
      <w:r w:rsidRPr="00E32DD4">
        <w:rPr>
          <w:lang w:val="en-US"/>
        </w:rPr>
        <w:t xml:space="preserve">noted </w:t>
      </w:r>
      <w:r w:rsidR="008E278A">
        <w:rPr>
          <w:lang w:val="en-US"/>
        </w:rPr>
        <w:t xml:space="preserve">that </w:t>
      </w:r>
      <w:r w:rsidRPr="00E32DD4">
        <w:t xml:space="preserve">“MSF contributed significantly to showing </w:t>
      </w:r>
      <w:r w:rsidR="008E278A">
        <w:t xml:space="preserve">the </w:t>
      </w:r>
      <w:r w:rsidRPr="00E32DD4">
        <w:t>feasibility of POC testing”</w:t>
      </w:r>
      <w:r>
        <w:t xml:space="preserve"> and that “they </w:t>
      </w:r>
      <w:r w:rsidRPr="00E32DD4">
        <w:t xml:space="preserve">were pioneers”. </w:t>
      </w:r>
      <w:r w:rsidRPr="00E32DD4">
        <w:rPr>
          <w:lang w:val="en-US"/>
        </w:rPr>
        <w:t>Indeed</w:t>
      </w:r>
      <w:r>
        <w:rPr>
          <w:lang w:val="en-US"/>
        </w:rPr>
        <w:t>, the POC VL testing programme had the following noted benefits in Malawi Chiradzulu:</w:t>
      </w:r>
    </w:p>
    <w:p w14:paraId="4E3B07F9" w14:textId="0487BFA1" w:rsidR="00723066" w:rsidRDefault="00723066" w:rsidP="00723066">
      <w:pPr>
        <w:pStyle w:val="CEPABullets"/>
      </w:pPr>
      <w:r>
        <w:rPr>
          <w:b/>
          <w:lang w:val="en-US"/>
        </w:rPr>
        <w:t xml:space="preserve">High VL testing coverage: </w:t>
      </w:r>
      <w:r>
        <w:rPr>
          <w:lang w:val="en-US"/>
        </w:rPr>
        <w:t xml:space="preserve">The programme served </w:t>
      </w:r>
      <w:r w:rsidRPr="00B14E9F">
        <w:t xml:space="preserve">a cohort of around 19,000 ART patients for routine VL, </w:t>
      </w:r>
      <w:r w:rsidR="00973758">
        <w:t>and VL coverage ranged from 62% to 81% across health centres</w:t>
      </w:r>
      <w:r w:rsidR="00BB7ED6">
        <w:t xml:space="preserve"> using the SAMBA platform in Chiradzulu</w:t>
      </w:r>
      <w:r w:rsidR="00973758">
        <w:t>. In addition,</w:t>
      </w:r>
      <w:r w:rsidRPr="00B14E9F" w:rsidDel="00973758">
        <w:t xml:space="preserve"> </w:t>
      </w:r>
      <w:r w:rsidRPr="00B14E9F">
        <w:t xml:space="preserve">testing services </w:t>
      </w:r>
      <w:r w:rsidR="00BB7ED6">
        <w:t xml:space="preserve">were provided </w:t>
      </w:r>
      <w:r w:rsidRPr="00B14E9F">
        <w:t>for suspect</w:t>
      </w:r>
      <w:r>
        <w:t>ed</w:t>
      </w:r>
      <w:r w:rsidRPr="00B14E9F">
        <w:t xml:space="preserve"> treatment failure for an additional 17,000 ART patients from six further health facilities.</w:t>
      </w:r>
      <w:r w:rsidRPr="00B14E9F">
        <w:rPr>
          <w:rStyle w:val="FootnoteReference"/>
        </w:rPr>
        <w:footnoteReference w:id="47"/>
      </w:r>
    </w:p>
    <w:p w14:paraId="49ADBEBD" w14:textId="05197A61" w:rsidR="00723066" w:rsidRDefault="00723066" w:rsidP="00723066">
      <w:pPr>
        <w:pStyle w:val="CEPABullets"/>
      </w:pPr>
      <w:r w:rsidRPr="00725ADF">
        <w:rPr>
          <w:b/>
        </w:rPr>
        <w:t xml:space="preserve">Rapid turnaround of tests and low loss of results: </w:t>
      </w:r>
      <w:r>
        <w:t xml:space="preserve">Before the project, the average turnaround time </w:t>
      </w:r>
      <w:r w:rsidR="00BC6B8E">
        <w:t>(TAT)</w:t>
      </w:r>
      <w:r>
        <w:t xml:space="preserve"> for VL test was </w:t>
      </w:r>
      <w:r w:rsidR="008E278A">
        <w:t>three months</w:t>
      </w:r>
      <w:r>
        <w:t xml:space="preserve">, however by the end of the project, the </w:t>
      </w:r>
      <w:r w:rsidR="004D0E48">
        <w:t>TAT</w:t>
      </w:r>
      <w:r>
        <w:t xml:space="preserve"> for results was one day, which was the result of steady improvement over the course of the project.</w:t>
      </w:r>
      <w:r w:rsidR="00A63B89">
        <w:rPr>
          <w:rStyle w:val="FootnoteReference"/>
        </w:rPr>
        <w:footnoteReference w:id="48"/>
      </w:r>
      <w:r>
        <w:t xml:space="preserve"> There was also low loss of results (&lt;1%), facilitated through the rapid test </w:t>
      </w:r>
      <w:r w:rsidR="004D0E48">
        <w:t>TAT</w:t>
      </w:r>
      <w:r>
        <w:t>.</w:t>
      </w:r>
      <w:r w:rsidR="00043440">
        <w:rPr>
          <w:rStyle w:val="FootnoteReference"/>
        </w:rPr>
        <w:footnoteReference w:id="49"/>
      </w:r>
      <w:r>
        <w:t xml:space="preserve"> As such, there was generally quick management of patients, with consequent implications on public health impacts. This also made </w:t>
      </w:r>
      <w:r w:rsidR="002D585C">
        <w:t>a</w:t>
      </w:r>
      <w:r>
        <w:t xml:space="preserve"> six</w:t>
      </w:r>
      <w:r w:rsidR="002D585C">
        <w:t>-</w:t>
      </w:r>
      <w:r>
        <w:t>monthly model of appointments possible for those patients that required that level of review.</w:t>
      </w:r>
    </w:p>
    <w:p w14:paraId="297B25FD" w14:textId="53EE7ACC" w:rsidR="00723066" w:rsidRDefault="00723066" w:rsidP="00723066">
      <w:pPr>
        <w:pStyle w:val="CEPABullets"/>
      </w:pPr>
      <w:r w:rsidRPr="00E35EB2">
        <w:rPr>
          <w:b/>
        </w:rPr>
        <w:t>Relatively high switching rates to second line:</w:t>
      </w:r>
      <w:r>
        <w:t xml:space="preserve"> The Chiradzulu district performed the best among all grant sites in terms of switching-rate to second line ART</w:t>
      </w:r>
      <w:r w:rsidR="008E278A">
        <w:t>,</w:t>
      </w:r>
      <w:r>
        <w:t xml:space="preserve"> with 68% of </w:t>
      </w:r>
      <w:r w:rsidR="008E278A">
        <w:t>eligible</w:t>
      </w:r>
      <w:r>
        <w:t xml:space="preserve"> ART patients changed to </w:t>
      </w:r>
      <w:r w:rsidR="008E278A">
        <w:t xml:space="preserve">a </w:t>
      </w:r>
      <w:r w:rsidR="00EA5AB6">
        <w:t>second-line regimen</w:t>
      </w:r>
      <w:r w:rsidR="00F82EEF">
        <w:t>, due in part to the quick availability of test results</w:t>
      </w:r>
      <w:r w:rsidR="008E278A">
        <w:t>.</w:t>
      </w:r>
      <w:r w:rsidR="00A86536">
        <w:rPr>
          <w:rStyle w:val="FootnoteReference"/>
        </w:rPr>
        <w:footnoteReference w:id="50"/>
      </w:r>
      <w:r>
        <w:t xml:space="preserve"> The district represented the biggest</w:t>
      </w:r>
      <w:r w:rsidR="00E70CBA">
        <w:t xml:space="preserve"> second</w:t>
      </w:r>
      <w:r>
        <w:t xml:space="preserve">  line </w:t>
      </w:r>
      <w:r w:rsidR="00E70CBA">
        <w:t xml:space="preserve">treatment </w:t>
      </w:r>
      <w:r w:rsidRPr="00E35EB2">
        <w:t>cohort in Malawi</w:t>
      </w:r>
      <w:r w:rsidR="00161EA0">
        <w:t xml:space="preserve"> in which</w:t>
      </w:r>
      <w:r w:rsidRPr="00E35EB2">
        <w:t xml:space="preserve"> 2</w:t>
      </w:r>
      <w:r>
        <w:t>,</w:t>
      </w:r>
      <w:r w:rsidRPr="00E35EB2">
        <w:t>129</w:t>
      </w:r>
      <w:r w:rsidR="00161EA0">
        <w:t xml:space="preserve"> </w:t>
      </w:r>
      <w:r w:rsidR="007F0B7C">
        <w:t xml:space="preserve">patients were put on </w:t>
      </w:r>
      <w:r w:rsidR="00093AAF">
        <w:t>second-line treatment</w:t>
      </w:r>
      <w:r w:rsidR="007F0B7C">
        <w:t>. This represented a high proportion (</w:t>
      </w:r>
      <w:r w:rsidRPr="00E35EB2">
        <w:t>17%</w:t>
      </w:r>
      <w:r w:rsidR="007F0B7C">
        <w:t>)</w:t>
      </w:r>
      <w:r w:rsidRPr="00E35EB2" w:rsidDel="007F0B7C">
        <w:t xml:space="preserve"> </w:t>
      </w:r>
      <w:r w:rsidRPr="00E35EB2">
        <w:t xml:space="preserve">of the </w:t>
      </w:r>
      <w:r w:rsidR="00065F3E">
        <w:t xml:space="preserve">12,000 patients on </w:t>
      </w:r>
      <w:r w:rsidR="00093AAF">
        <w:t>second-line treatment</w:t>
      </w:r>
      <w:r w:rsidR="00065F3E">
        <w:t xml:space="preserve"> in the </w:t>
      </w:r>
      <w:r w:rsidRPr="00E35EB2">
        <w:t>country</w:t>
      </w:r>
      <w:r w:rsidR="00065F3E">
        <w:t>.</w:t>
      </w:r>
      <w:r w:rsidR="00F82EEF">
        <w:rPr>
          <w:rStyle w:val="FootnoteReference"/>
        </w:rPr>
        <w:footnoteReference w:id="51"/>
      </w:r>
      <w:r w:rsidRPr="00E35EB2" w:rsidDel="00065F3E">
        <w:t xml:space="preserve"> </w:t>
      </w:r>
      <w:r w:rsidRPr="00E35EB2">
        <w:rPr>
          <w:lang w:val="en-US"/>
        </w:rPr>
        <w:t>Further, there w</w:t>
      </w:r>
      <w:r w:rsidR="00E70CBA">
        <w:rPr>
          <w:lang w:val="en-US"/>
        </w:rPr>
        <w:t xml:space="preserve">ere </w:t>
      </w:r>
      <w:r w:rsidRPr="00E35EB2">
        <w:rPr>
          <w:lang w:val="en-US"/>
        </w:rPr>
        <w:t>stud</w:t>
      </w:r>
      <w:r w:rsidR="00E70CBA">
        <w:rPr>
          <w:lang w:val="en-US"/>
        </w:rPr>
        <w:t>ies</w:t>
      </w:r>
      <w:r w:rsidRPr="00E35EB2">
        <w:rPr>
          <w:lang w:val="en-US"/>
        </w:rPr>
        <w:t xml:space="preserve"> conducted</w:t>
      </w:r>
      <w:r>
        <w:t xml:space="preserve"> on a</w:t>
      </w:r>
      <w:r w:rsidRPr="006C31A2">
        <w:t xml:space="preserve">dolescents </w:t>
      </w:r>
      <w:r>
        <w:t>which highlighted particular benefits for this population group of VL testing, recognising that disclosure and adherence is a challenge and therefore faster time to switching is helpful.</w:t>
      </w:r>
      <w:r>
        <w:rPr>
          <w:rStyle w:val="FootnoteReference"/>
        </w:rPr>
        <w:footnoteReference w:id="52"/>
      </w:r>
    </w:p>
    <w:p w14:paraId="746D1FC4" w14:textId="72443ADD" w:rsidR="00723066" w:rsidRDefault="00723066" w:rsidP="00723066">
      <w:pPr>
        <w:pStyle w:val="CEPAReportText"/>
      </w:pPr>
      <w:r>
        <w:t xml:space="preserve">Box </w:t>
      </w:r>
      <w:r w:rsidR="006E2513">
        <w:t>3.1</w:t>
      </w:r>
      <w:r>
        <w:t xml:space="preserve"> presents several areas of financial and health systems efficiencies that were afforded through the project.</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2F2F2" w:themeFill="background1" w:themeFillShade="F2"/>
        <w:tblLook w:val="04A0" w:firstRow="1" w:lastRow="0" w:firstColumn="1" w:lastColumn="0" w:noHBand="0" w:noVBand="1"/>
      </w:tblPr>
      <w:tblGrid>
        <w:gridCol w:w="9016"/>
      </w:tblGrid>
      <w:tr w:rsidR="008E278A" w:rsidRPr="006935C6" w14:paraId="7AB51A6E" w14:textId="77777777" w:rsidTr="008E278A">
        <w:trPr>
          <w:tblHeader/>
        </w:trPr>
        <w:tc>
          <w:tcPr>
            <w:tcW w:w="5000" w:type="pct"/>
            <w:shd w:val="clear" w:color="auto" w:fill="F2F2F2" w:themeFill="background1" w:themeFillShade="F2"/>
          </w:tcPr>
          <w:p w14:paraId="4EE7236D" w14:textId="7EE9BD1F" w:rsidR="008E278A" w:rsidRPr="002619C0" w:rsidRDefault="008E278A" w:rsidP="008E278A">
            <w:pPr>
              <w:pStyle w:val="CEPATabletext"/>
              <w:rPr>
                <w:b/>
              </w:rPr>
            </w:pPr>
            <w:r w:rsidRPr="002619C0">
              <w:rPr>
                <w:b/>
              </w:rPr>
              <w:t xml:space="preserve">Box </w:t>
            </w:r>
            <w:r w:rsidR="006E2513">
              <w:rPr>
                <w:b/>
              </w:rPr>
              <w:t>3.1</w:t>
            </w:r>
            <w:r w:rsidRPr="002619C0">
              <w:rPr>
                <w:b/>
              </w:rPr>
              <w:t xml:space="preserve">: </w:t>
            </w:r>
            <w:r w:rsidR="00FF71FC">
              <w:rPr>
                <w:b/>
              </w:rPr>
              <w:t>O</w:t>
            </w:r>
            <w:r w:rsidRPr="002619C0">
              <w:rPr>
                <w:b/>
              </w:rPr>
              <w:t xml:space="preserve">bserved health systems efficiencies in Malawi Chiradzulu resulting from use of POC </w:t>
            </w:r>
            <w:r w:rsidR="007B10C8">
              <w:rPr>
                <w:b/>
              </w:rPr>
              <w:t>VL</w:t>
            </w:r>
            <w:r w:rsidRPr="002619C0">
              <w:rPr>
                <w:b/>
              </w:rPr>
              <w:t xml:space="preserve"> testing with the SAMBA platform</w:t>
            </w:r>
          </w:p>
          <w:p w14:paraId="1446E444" w14:textId="6809465F" w:rsidR="008E278A" w:rsidRPr="002619C0" w:rsidRDefault="008E278A" w:rsidP="00846486">
            <w:pPr>
              <w:pStyle w:val="CEPATabletext"/>
              <w:numPr>
                <w:ilvl w:val="0"/>
                <w:numId w:val="16"/>
              </w:numPr>
            </w:pPr>
            <w:r>
              <w:t xml:space="preserve">With the rapid </w:t>
            </w:r>
            <w:r w:rsidR="004D0E48">
              <w:t>TAT</w:t>
            </w:r>
            <w:r>
              <w:t xml:space="preserve"> (</w:t>
            </w:r>
            <w:r w:rsidR="007F1A54">
              <w:t>most</w:t>
            </w:r>
            <w:r w:rsidRPr="002619C0" w:rsidDel="007F1A54">
              <w:t xml:space="preserve"> </w:t>
            </w:r>
            <w:r w:rsidRPr="002619C0">
              <w:t>tests results reviewed within the same day</w:t>
            </w:r>
            <w:r>
              <w:t xml:space="preserve">), there were fewer </w:t>
            </w:r>
            <w:r w:rsidRPr="002619C0">
              <w:t>patient visits to clinics.</w:t>
            </w:r>
            <w:r w:rsidR="00004867">
              <w:rPr>
                <w:rStyle w:val="FootnoteReference"/>
              </w:rPr>
              <w:footnoteReference w:id="53"/>
            </w:r>
          </w:p>
          <w:p w14:paraId="7EAFCC1B" w14:textId="05D952E2" w:rsidR="008E278A" w:rsidRPr="002619C0" w:rsidRDefault="008E278A" w:rsidP="00846486">
            <w:pPr>
              <w:pStyle w:val="CEPATabletext"/>
              <w:numPr>
                <w:ilvl w:val="0"/>
                <w:numId w:val="16"/>
              </w:numPr>
            </w:pPr>
            <w:r w:rsidRPr="002619C0">
              <w:t>Fewer than 1% of samples were lost using the SAMBA platform, compared with 15% of samples lost with sending tests to a laboratory-based platform based at a referral tertiary hospital</w:t>
            </w:r>
            <w:r>
              <w:t xml:space="preserve">, implying a </w:t>
            </w:r>
            <w:r w:rsidRPr="002619C0">
              <w:t>reduction in leakages along the treatment cascade.</w:t>
            </w:r>
            <w:r>
              <w:t xml:space="preserve"> There were also r</w:t>
            </w:r>
            <w:r w:rsidRPr="002619C0">
              <w:t>educed number of re-tests needed given a lower frequency of lost samples.</w:t>
            </w:r>
            <w:r w:rsidR="00546F3E">
              <w:rPr>
                <w:rStyle w:val="FootnoteReference"/>
              </w:rPr>
              <w:footnoteReference w:id="54"/>
            </w:r>
          </w:p>
          <w:p w14:paraId="39362BFC" w14:textId="330FEBE2" w:rsidR="008E278A" w:rsidRDefault="008E278A" w:rsidP="00846486">
            <w:pPr>
              <w:pStyle w:val="CEPATabletext"/>
              <w:numPr>
                <w:ilvl w:val="0"/>
                <w:numId w:val="16"/>
              </w:numPr>
            </w:pPr>
            <w:r w:rsidRPr="002619C0">
              <w:t>More control for clinicians over patient outcomes given greater proximity to diagnostic platforms and the ability to visit laboratories directly to request results.</w:t>
            </w:r>
            <w:r w:rsidR="00546F3E">
              <w:rPr>
                <w:rStyle w:val="FootnoteReference"/>
              </w:rPr>
              <w:footnoteReference w:id="55"/>
            </w:r>
          </w:p>
          <w:p w14:paraId="6E4225E8" w14:textId="28A17B8C" w:rsidR="008E278A" w:rsidRPr="006935C6" w:rsidRDefault="008E278A" w:rsidP="00846486">
            <w:pPr>
              <w:pStyle w:val="CEPATabletext"/>
              <w:numPr>
                <w:ilvl w:val="0"/>
                <w:numId w:val="16"/>
              </w:numPr>
            </w:pPr>
            <w:r w:rsidRPr="002619C0">
              <w:t>Faster identification of virologically stable patients to be placed on the fast track refill. Patients on the fast track refill visit clinics less frequently, typically four clinic visits a year, of which two are full clinical appointments and two ART refill visits in which services are provided by a lower level cadre health professional, thereby lessening the burden on clinics.</w:t>
            </w:r>
            <w:r w:rsidRPr="002619C0">
              <w:rPr>
                <w:rStyle w:val="FootnoteReference"/>
              </w:rPr>
              <w:footnoteReference w:id="56"/>
            </w:r>
            <w:r w:rsidRPr="002619C0">
              <w:t xml:space="preserve"> 14,000 patients were placed on fast track, representing 74% of the ART cohort.</w:t>
            </w:r>
            <w:r w:rsidR="002F462C">
              <w:rPr>
                <w:rStyle w:val="FootnoteReference"/>
              </w:rPr>
              <w:footnoteReference w:id="57"/>
            </w:r>
          </w:p>
        </w:tc>
      </w:tr>
    </w:tbl>
    <w:p w14:paraId="29109F77" w14:textId="3C2836FD" w:rsidR="00723066" w:rsidRDefault="00723066" w:rsidP="00723066">
      <w:pPr>
        <w:pStyle w:val="CEPAReportText"/>
        <w:rPr>
          <w:lang w:val="en-US"/>
        </w:rPr>
      </w:pPr>
      <w:r w:rsidRPr="00A25AB5">
        <w:rPr>
          <w:b/>
          <w:lang w:val="en-US"/>
        </w:rPr>
        <w:t xml:space="preserve">However, the most significant challenge was that the </w:t>
      </w:r>
      <w:r w:rsidR="00B61C4F">
        <w:rPr>
          <w:b/>
          <w:lang w:val="en-US"/>
        </w:rPr>
        <w:t>MOH</w:t>
      </w:r>
      <w:r w:rsidRPr="00A25AB5">
        <w:rPr>
          <w:b/>
          <w:lang w:val="en-US"/>
        </w:rPr>
        <w:t xml:space="preserve"> decided not to take routine VL testing through POC forward, primarily due to the high cost of the test.</w:t>
      </w:r>
      <w:r>
        <w:rPr>
          <w:rStyle w:val="FootnoteReference"/>
          <w:lang w:val="en-US"/>
        </w:rPr>
        <w:footnoteReference w:id="58"/>
      </w:r>
      <w:r>
        <w:rPr>
          <w:lang w:val="en-US"/>
        </w:rPr>
        <w:t xml:space="preserve"> The SAMBA platform in particular was not taken forward by the government, with their preference being for other POC platforms (such as the GeneXpert piloted by the </w:t>
      </w:r>
      <w:r w:rsidR="00B61C4F">
        <w:rPr>
          <w:lang w:val="en-US"/>
        </w:rPr>
        <w:t>MOH</w:t>
      </w:r>
      <w:r>
        <w:rPr>
          <w:lang w:val="en-US"/>
        </w:rPr>
        <w:t xml:space="preserve"> and CHAI). Some stakeholders in country commented that MSF could have done more to share findings within Malawi and lobby the government</w:t>
      </w:r>
      <w:r w:rsidR="00172324">
        <w:rPr>
          <w:lang w:val="en-US"/>
        </w:rPr>
        <w:t>,</w:t>
      </w:r>
      <w:r>
        <w:rPr>
          <w:lang w:val="en-US"/>
        </w:rPr>
        <w:t xml:space="preserve"> as well as the manufacturer on price, which may have </w:t>
      </w:r>
      <w:r w:rsidR="00070BCD">
        <w:rPr>
          <w:lang w:val="en-US"/>
        </w:rPr>
        <w:t xml:space="preserve">helped the government to accept </w:t>
      </w:r>
      <w:r>
        <w:rPr>
          <w:lang w:val="en-US"/>
        </w:rPr>
        <w:t>the SAMBA technology.</w:t>
      </w:r>
      <w:r w:rsidR="0045491F">
        <w:rPr>
          <w:rStyle w:val="FootnoteReference"/>
          <w:lang w:val="en-US"/>
        </w:rPr>
        <w:footnoteReference w:id="59"/>
      </w:r>
      <w:r>
        <w:rPr>
          <w:lang w:val="en-US"/>
        </w:rPr>
        <w:t xml:space="preserve"> </w:t>
      </w:r>
    </w:p>
    <w:p w14:paraId="7DC25B37" w14:textId="6DD24FEA" w:rsidR="00723066" w:rsidRDefault="00723066" w:rsidP="00723066">
      <w:pPr>
        <w:pStyle w:val="CEPAReportText"/>
        <w:rPr>
          <w:lang w:val="en-US"/>
        </w:rPr>
      </w:pPr>
      <w:r>
        <w:t xml:space="preserve">Further, the full ART cohort in Chiradzulu was not handed over to the </w:t>
      </w:r>
      <w:r w:rsidR="00B61C4F">
        <w:t>MOH</w:t>
      </w:r>
      <w:r>
        <w:t xml:space="preserve">, therefore MSF are still supporting targeted VL testing. The plan to </w:t>
      </w:r>
      <w:r w:rsidR="003C6684">
        <w:t>hand-over</w:t>
      </w:r>
      <w:r>
        <w:t xml:space="preserve">, and then not to </w:t>
      </w:r>
      <w:r w:rsidR="003C6684">
        <w:t>hand-over</w:t>
      </w:r>
      <w:r>
        <w:t xml:space="preserve"> resulted in some missed opportunities, e.g. trialling of the SAMBA II </w:t>
      </w:r>
      <w:r w:rsidR="0080489C">
        <w:t xml:space="preserve">platform </w:t>
      </w:r>
      <w:r>
        <w:t xml:space="preserve">which was not undertaken because it did not seem beneficial to introduce a new device close to </w:t>
      </w:r>
      <w:r w:rsidR="003C6684">
        <w:t>hand-over</w:t>
      </w:r>
      <w:r>
        <w:t>.</w:t>
      </w:r>
      <w:r w:rsidR="008E278A" w:rsidRPr="00A25AB5">
        <w:rPr>
          <w:lang w:val="en-US"/>
        </w:rPr>
        <w:t xml:space="preserve"> </w:t>
      </w:r>
    </w:p>
    <w:p w14:paraId="243235A8" w14:textId="0AF79AA6" w:rsidR="00723066" w:rsidRDefault="00723066" w:rsidP="00723066">
      <w:pPr>
        <w:pStyle w:val="CEPAReportText"/>
      </w:pPr>
      <w:r>
        <w:t xml:space="preserve">As per the </w:t>
      </w:r>
      <w:r w:rsidR="008E278A">
        <w:t>government’s</w:t>
      </w:r>
      <w:r>
        <w:t xml:space="preserve"> VL scale up plan, all health centres will switch to a strategy where routine DBS VL samples are sent to a centralised laboratory using the Abbott platform. Accordingly, MSF supported this through: (i) providing training on DBS sample collection, sample result management, documentation; (ii) have phased out routine POC VL testing and are now supporting only targeted VL testing. Within this as well, </w:t>
      </w:r>
      <w:r w:rsidRPr="006935C6">
        <w:t xml:space="preserve">it </w:t>
      </w:r>
      <w:r>
        <w:t>was not</w:t>
      </w:r>
      <w:r w:rsidRPr="006935C6">
        <w:t xml:space="preserve"> possible to </w:t>
      </w:r>
      <w:r w:rsidR="003C6684">
        <w:t>hand-over</w:t>
      </w:r>
      <w:r w:rsidRPr="006935C6">
        <w:t xml:space="preserve"> the operation of the platforms to community workers </w:t>
      </w:r>
      <w:r>
        <w:t xml:space="preserve">(i.e. the task shifting pioneered by MSF) </w:t>
      </w:r>
      <w:r w:rsidRPr="006935C6">
        <w:t xml:space="preserve">because of the legal constrains of the </w:t>
      </w:r>
      <w:r w:rsidR="00B61C4F">
        <w:t>MOH</w:t>
      </w:r>
      <w:r w:rsidRPr="006935C6">
        <w:t>.</w:t>
      </w:r>
    </w:p>
    <w:p w14:paraId="35413E6E" w14:textId="7B43B1F1" w:rsidR="00723066" w:rsidRDefault="00723066" w:rsidP="00723066">
      <w:pPr>
        <w:pStyle w:val="CEPAReportText"/>
        <w:rPr>
          <w:lang w:val="en-US"/>
        </w:rPr>
      </w:pPr>
      <w:r>
        <w:rPr>
          <w:lang w:val="en-US"/>
        </w:rPr>
        <w:t xml:space="preserve">In conclusion, the </w:t>
      </w:r>
      <w:r w:rsidR="003E5696">
        <w:rPr>
          <w:lang w:val="en-US"/>
        </w:rPr>
        <w:t>MSF OCP</w:t>
      </w:r>
      <w:r>
        <w:rPr>
          <w:lang w:val="en-US"/>
        </w:rPr>
        <w:t xml:space="preserve"> POC VL testing programme in Malawi Chiradzulu demonstrated the many positive benefits of POC testing, however the specific technology employed could not be sustained due to high costs. Indeed the government is supportive of POC VL testing drawing on the experiences of this project, although in a targeted rather than routine manner at present on account of costs. </w:t>
      </w:r>
      <w:r w:rsidR="00F36D3A">
        <w:rPr>
          <w:lang w:val="en-US"/>
        </w:rPr>
        <w:t>The MSF work has also paved the way for near-POC VL testing through the GeneXpert being conducted by C</w:t>
      </w:r>
      <w:r w:rsidR="00385379">
        <w:rPr>
          <w:lang w:val="en-US"/>
        </w:rPr>
        <w:t>HAI and other donors</w:t>
      </w:r>
      <w:r w:rsidR="00F36D3A">
        <w:rPr>
          <w:lang w:val="en-US"/>
        </w:rPr>
        <w:t xml:space="preserve">. </w:t>
      </w:r>
    </w:p>
    <w:p w14:paraId="2304D7FB" w14:textId="305153CC" w:rsidR="00723066" w:rsidRDefault="00723066" w:rsidP="00723066">
      <w:pPr>
        <w:pStyle w:val="CEPAReportText"/>
        <w:rPr>
          <w:lang w:val="en-US"/>
        </w:rPr>
      </w:pPr>
      <w:r>
        <w:rPr>
          <w:lang w:val="en-US"/>
        </w:rPr>
        <w:t>Further, an indirect benefit of the MSF</w:t>
      </w:r>
      <w:r w:rsidR="00A170FE">
        <w:rPr>
          <w:lang w:val="en-US"/>
        </w:rPr>
        <w:t xml:space="preserve"> OCP</w:t>
      </w:r>
      <w:r>
        <w:rPr>
          <w:lang w:val="en-US"/>
        </w:rPr>
        <w:t xml:space="preserve"> SAMBA programme in Chiradzulu was that lessons </w:t>
      </w:r>
      <w:r w:rsidR="002D585C">
        <w:rPr>
          <w:lang w:val="en-US"/>
        </w:rPr>
        <w:t xml:space="preserve">were </w:t>
      </w:r>
      <w:r>
        <w:rPr>
          <w:lang w:val="en-US"/>
        </w:rPr>
        <w:t>transferred to the Uganda operations, where SAMBA</w:t>
      </w:r>
      <w:r w:rsidR="008E278A">
        <w:rPr>
          <w:lang w:val="en-US"/>
        </w:rPr>
        <w:t>-</w:t>
      </w:r>
      <w:r>
        <w:rPr>
          <w:lang w:val="en-US"/>
        </w:rPr>
        <w:t xml:space="preserve">based VL monitoring was conducted. </w:t>
      </w:r>
    </w:p>
    <w:p w14:paraId="4DF439A7" w14:textId="13595475" w:rsidR="00FC5DBB" w:rsidRDefault="0045491F" w:rsidP="0045491F">
      <w:pPr>
        <w:pStyle w:val="Heading3"/>
        <w:rPr>
          <w:lang w:val="en-US"/>
        </w:rPr>
      </w:pPr>
      <w:r>
        <w:rPr>
          <w:lang w:val="en-US"/>
        </w:rPr>
        <w:t xml:space="preserve">MSF programme in </w:t>
      </w:r>
      <w:r w:rsidR="00FC5DBB">
        <w:rPr>
          <w:lang w:val="en-US"/>
        </w:rPr>
        <w:t>Malawi – Thyolo</w:t>
      </w:r>
    </w:p>
    <w:p w14:paraId="2D548A6B" w14:textId="303FEF3C" w:rsidR="00FC5DBB" w:rsidRDefault="00FC5DBB" w:rsidP="00FC5DBB">
      <w:pPr>
        <w:pStyle w:val="CEPAReportText"/>
        <w:rPr>
          <w:lang w:val="en-US"/>
        </w:rPr>
      </w:pPr>
      <w:r>
        <w:rPr>
          <w:lang w:val="en-US"/>
        </w:rPr>
        <w:t>The MSF programme in Malawi Thyolo was implemented by</w:t>
      </w:r>
      <w:r w:rsidR="00B97AAE" w:rsidRPr="00B97AAE">
        <w:t xml:space="preserve"> </w:t>
      </w:r>
      <w:r w:rsidR="00B97AAE" w:rsidRPr="00B97AAE">
        <w:rPr>
          <w:lang w:val="en-US"/>
        </w:rPr>
        <w:t>MSF OCB</w:t>
      </w:r>
      <w:r w:rsidR="00D936B1">
        <w:rPr>
          <w:lang w:val="en-US"/>
        </w:rPr>
        <w:t xml:space="preserve"> </w:t>
      </w:r>
      <w:r>
        <w:rPr>
          <w:lang w:val="en-US"/>
        </w:rPr>
        <w:t xml:space="preserve">from 2013 and encompassed </w:t>
      </w:r>
      <w:r w:rsidR="008E278A">
        <w:rPr>
          <w:lang w:val="en-US"/>
        </w:rPr>
        <w:t>laboratory</w:t>
      </w:r>
      <w:r>
        <w:rPr>
          <w:lang w:val="en-US"/>
        </w:rPr>
        <w:t xml:space="preserve">-based VL testing in the </w:t>
      </w:r>
      <w:r w:rsidR="00B61C4F">
        <w:rPr>
          <w:lang w:val="en-US"/>
        </w:rPr>
        <w:t>MOH</w:t>
      </w:r>
      <w:r>
        <w:rPr>
          <w:lang w:val="en-US"/>
        </w:rPr>
        <w:t xml:space="preserve"> district hospital and health centres. </w:t>
      </w:r>
    </w:p>
    <w:p w14:paraId="1F4F010A" w14:textId="1FC9AE76" w:rsidR="00FC5DBB" w:rsidRDefault="00FC5DBB" w:rsidP="00FC5DBB">
      <w:pPr>
        <w:pStyle w:val="CEPAReportText"/>
      </w:pPr>
      <w:r>
        <w:t xml:space="preserve">At the start of the project, VL testing was being conducted in Malawi but </w:t>
      </w:r>
      <w:r w:rsidRPr="006A1486">
        <w:t>no</w:t>
      </w:r>
      <w:r w:rsidR="00C15630">
        <w:t>t</w:t>
      </w:r>
      <w:r w:rsidRPr="006A1486">
        <w:t xml:space="preserve"> at </w:t>
      </w:r>
      <w:r w:rsidR="007E1D2E">
        <w:t xml:space="preserve">the </w:t>
      </w:r>
      <w:r w:rsidRPr="006A1486">
        <w:t>district level,</w:t>
      </w:r>
      <w:r w:rsidR="00C15630">
        <w:t xml:space="preserve"> </w:t>
      </w:r>
      <w:r w:rsidR="00BC6B8E">
        <w:t>n</w:t>
      </w:r>
      <w:r w:rsidR="00C15630">
        <w:t xml:space="preserve">or </w:t>
      </w:r>
      <w:r w:rsidRPr="006A1486">
        <w:t xml:space="preserve">using DBS. </w:t>
      </w:r>
      <w:r>
        <w:t>MSF chose to pilot the BM platform with DBS</w:t>
      </w:r>
      <w:r w:rsidR="00305CD6">
        <w:t>,</w:t>
      </w:r>
      <w:r w:rsidDel="00305CD6">
        <w:t xml:space="preserve"> </w:t>
      </w:r>
      <w:r>
        <w:t xml:space="preserve">in a </w:t>
      </w:r>
      <w:r w:rsidRPr="006A1486">
        <w:t>district model</w:t>
      </w:r>
      <w:r>
        <w:t xml:space="preserve"> </w:t>
      </w:r>
      <w:r w:rsidR="00C15630">
        <w:t>and this</w:t>
      </w:r>
      <w:r>
        <w:t xml:space="preserve"> </w:t>
      </w:r>
      <w:r w:rsidR="00305CD6">
        <w:t xml:space="preserve">platform </w:t>
      </w:r>
      <w:r>
        <w:t xml:space="preserve">was replaced with the Abbott m2000 platform in 2015, in response to the </w:t>
      </w:r>
      <w:r w:rsidR="00B61C4F">
        <w:t>MOH</w:t>
      </w:r>
      <w:r>
        <w:t xml:space="preserve"> scale-up plan that had a preference for this device. </w:t>
      </w:r>
    </w:p>
    <w:p w14:paraId="34E7B221" w14:textId="77777777" w:rsidR="00FC5DBB" w:rsidRDefault="00FC5DBB" w:rsidP="00FC5DBB">
      <w:pPr>
        <w:pStyle w:val="CEPAReportText"/>
      </w:pPr>
      <w:r>
        <w:t>In support of the piloting of the new VL testing approach, MSF undertook the following:</w:t>
      </w:r>
    </w:p>
    <w:p w14:paraId="37A95921" w14:textId="77777777" w:rsidR="00FC5DBB" w:rsidRDefault="00FC5DBB" w:rsidP="00FC5DBB">
      <w:pPr>
        <w:pStyle w:val="CEPABullets"/>
      </w:pPr>
      <w:r>
        <w:rPr>
          <w:b/>
        </w:rPr>
        <w:t>Provision of infrastructure and related support</w:t>
      </w:r>
      <w:r>
        <w:t xml:space="preserve"> – including needed renovations to incorporate the BM and then the Abbott machine, the equipment itself but also reagents, etc., </w:t>
      </w:r>
      <w:r w:rsidRPr="00B14E9F">
        <w:t>laboratory infrastructure support such as back-up power supply</w:t>
      </w:r>
      <w:r>
        <w:t xml:space="preserve"> and additional materials, stationary, etc. We understand that </w:t>
      </w:r>
      <w:r w:rsidRPr="005F7729">
        <w:t xml:space="preserve">MSF provided prompt support </w:t>
      </w:r>
      <w:r>
        <w:t>to ensure smooth running of service in terms of</w:t>
      </w:r>
      <w:r w:rsidRPr="005F7729">
        <w:t xml:space="preserve"> reagents</w:t>
      </w:r>
      <w:r>
        <w:t xml:space="preserve"> provision, </w:t>
      </w:r>
      <w:r w:rsidRPr="005F7729">
        <w:t>maintenance, calibration</w:t>
      </w:r>
      <w:r>
        <w:t>,</w:t>
      </w:r>
      <w:r w:rsidRPr="005F7729">
        <w:t xml:space="preserve"> etc.</w:t>
      </w:r>
    </w:p>
    <w:p w14:paraId="76CD2937" w14:textId="328A0ECD" w:rsidR="00FC5DBB" w:rsidRDefault="00CD4B3D" w:rsidP="00FC5DBB">
      <w:pPr>
        <w:pStyle w:val="CEPABullets"/>
      </w:pPr>
      <w:r>
        <w:rPr>
          <w:b/>
        </w:rPr>
        <w:t>DBS introduction</w:t>
      </w:r>
      <w:r w:rsidRPr="006C55C0">
        <w:t xml:space="preserve"> </w:t>
      </w:r>
      <w:r w:rsidR="002E3265" w:rsidRPr="006C55C0">
        <w:t>including</w:t>
      </w:r>
      <w:r w:rsidR="002E3265">
        <w:rPr>
          <w:b/>
        </w:rPr>
        <w:t xml:space="preserve"> </w:t>
      </w:r>
      <w:r w:rsidR="002E3265" w:rsidRPr="007F2157">
        <w:t xml:space="preserve">a </w:t>
      </w:r>
      <w:r w:rsidR="002E3265" w:rsidRPr="00071463">
        <w:t>s</w:t>
      </w:r>
      <w:r w:rsidR="00FC5DBB" w:rsidRPr="00071463">
        <w:t>ample</w:t>
      </w:r>
      <w:r w:rsidR="00FC5DBB" w:rsidRPr="007F2157">
        <w:t xml:space="preserve"> transport system</w:t>
      </w:r>
      <w:r w:rsidR="00FC5DBB">
        <w:t>.</w:t>
      </w:r>
    </w:p>
    <w:p w14:paraId="37B32834" w14:textId="77777777" w:rsidR="00FC5DBB" w:rsidRDefault="00FC5DBB" w:rsidP="00FC5DBB">
      <w:pPr>
        <w:pStyle w:val="CEPABullets"/>
      </w:pPr>
      <w:r>
        <w:rPr>
          <w:b/>
        </w:rPr>
        <w:t>Training, supervision and support for task shifting</w:t>
      </w:r>
      <w:r>
        <w:t xml:space="preserve"> – including the following:</w:t>
      </w:r>
    </w:p>
    <w:p w14:paraId="6F1A2B3B" w14:textId="17369A4B" w:rsidR="00FC5DBB" w:rsidRDefault="00FC5DBB" w:rsidP="00FC5DBB">
      <w:pPr>
        <w:pStyle w:val="CEPABullets"/>
        <w:numPr>
          <w:ilvl w:val="1"/>
          <w:numId w:val="1"/>
        </w:numPr>
      </w:pPr>
      <w:r>
        <w:t xml:space="preserve">Trained </w:t>
      </w:r>
      <w:r w:rsidR="003B538D">
        <w:t>Health Surveillance Assistants</w:t>
      </w:r>
      <w:r>
        <w:t xml:space="preserve"> </w:t>
      </w:r>
      <w:r w:rsidR="00846486">
        <w:t xml:space="preserve">(HSAs) </w:t>
      </w:r>
      <w:r>
        <w:t xml:space="preserve">and provided guidelines on sample collection. </w:t>
      </w:r>
    </w:p>
    <w:p w14:paraId="59F95631" w14:textId="24C9F648" w:rsidR="00FC5DBB" w:rsidRDefault="00FC5DBB" w:rsidP="00FC5DBB">
      <w:pPr>
        <w:pStyle w:val="CEPABullets"/>
        <w:numPr>
          <w:ilvl w:val="1"/>
          <w:numId w:val="1"/>
        </w:numPr>
      </w:pPr>
      <w:r>
        <w:t xml:space="preserve">Trained and mentored </w:t>
      </w:r>
      <w:r w:rsidR="00B61C4F">
        <w:t>MOH</w:t>
      </w:r>
      <w:r>
        <w:t xml:space="preserve"> </w:t>
      </w:r>
      <w:r w:rsidR="00B92BC3">
        <w:t>healthcare workers</w:t>
      </w:r>
      <w:r>
        <w:t xml:space="preserve"> </w:t>
      </w:r>
      <w:r w:rsidR="00B92BC3">
        <w:t>(</w:t>
      </w:r>
      <w:r>
        <w:t>HCWs</w:t>
      </w:r>
      <w:r w:rsidR="00B92BC3">
        <w:t>)</w:t>
      </w:r>
      <w:r>
        <w:t xml:space="preserve"> on a range of aspects around VL testing, and use of platforms (lab technicians). </w:t>
      </w:r>
    </w:p>
    <w:p w14:paraId="4D6C7509" w14:textId="280EAC40" w:rsidR="00FC5DBB" w:rsidRDefault="00FC5DBB" w:rsidP="00FC5DBB">
      <w:pPr>
        <w:pStyle w:val="CEPABullets"/>
        <w:numPr>
          <w:ilvl w:val="1"/>
          <w:numId w:val="1"/>
        </w:numPr>
      </w:pPr>
      <w:r w:rsidRPr="00B14E9F">
        <w:t xml:space="preserve">MSF </w:t>
      </w:r>
      <w:r>
        <w:t xml:space="preserve">initially set up </w:t>
      </w:r>
      <w:r w:rsidR="00EA5AB6">
        <w:t xml:space="preserve">second-line </w:t>
      </w:r>
      <w:r>
        <w:t xml:space="preserve">committees to decide which patients should be switched. Subsequently, MSF advocated and provided training for task shifting beyond medical doctors to other second line prescribers. </w:t>
      </w:r>
    </w:p>
    <w:p w14:paraId="54D2AEF0" w14:textId="71800603" w:rsidR="00FC5DBB" w:rsidRDefault="00FC5DBB" w:rsidP="00FC5DBB">
      <w:pPr>
        <w:pStyle w:val="CEPABullets"/>
      </w:pPr>
      <w:r w:rsidRPr="00980661">
        <w:rPr>
          <w:b/>
        </w:rPr>
        <w:t xml:space="preserve">Demand generation/ awareness campaigns </w:t>
      </w:r>
      <w:r>
        <w:t>were conducted by MSF, working alongside CSOs in the district</w:t>
      </w:r>
      <w:r w:rsidR="003B4B37">
        <w:t xml:space="preserve">, although we did not get a sense from our consultations that this was </w:t>
      </w:r>
      <w:r w:rsidR="00B120D9">
        <w:t xml:space="preserve">not </w:t>
      </w:r>
      <w:r w:rsidR="00151FC5">
        <w:t xml:space="preserve">extensively </w:t>
      </w:r>
      <w:r w:rsidR="003B4B37">
        <w:t>prioritised</w:t>
      </w:r>
      <w:r w:rsidR="00B120D9">
        <w:t xml:space="preserve"> as much as in some other</w:t>
      </w:r>
      <w:r w:rsidR="006B109D">
        <w:t xml:space="preserve"> settings</w:t>
      </w:r>
      <w:r w:rsidR="003B4B37">
        <w:t xml:space="preserve"> beyond the experience with CAGs mentioned below</w:t>
      </w:r>
      <w:r>
        <w:t xml:space="preserve">. </w:t>
      </w:r>
    </w:p>
    <w:p w14:paraId="318E10C5" w14:textId="52F3EC9C" w:rsidR="00FC5DBB" w:rsidRDefault="00FC5DBB" w:rsidP="00FC5DBB">
      <w:pPr>
        <w:pStyle w:val="CEPAReportText"/>
        <w:rPr>
          <w:lang w:val="en-US"/>
        </w:rPr>
      </w:pPr>
      <w:r>
        <w:rPr>
          <w:lang w:val="en-US"/>
        </w:rPr>
        <w:t xml:space="preserve">Table </w:t>
      </w:r>
      <w:r w:rsidR="006E2513">
        <w:rPr>
          <w:lang w:val="en-US"/>
        </w:rPr>
        <w:t>3.</w:t>
      </w:r>
      <w:r w:rsidR="0028586E">
        <w:rPr>
          <w:lang w:val="en-US"/>
        </w:rPr>
        <w:t>5</w:t>
      </w:r>
      <w:r>
        <w:rPr>
          <w:lang w:val="en-US"/>
        </w:rPr>
        <w:t xml:space="preserve"> </w:t>
      </w:r>
      <w:r w:rsidR="00A83EF8">
        <w:rPr>
          <w:lang w:val="en-US"/>
        </w:rPr>
        <w:t>summarises</w:t>
      </w:r>
      <w:r>
        <w:rPr>
          <w:lang w:val="en-US"/>
        </w:rPr>
        <w:t xml:space="preserve"> the feedback received from country stakeholders on the working of the BM and Abbott platforms in Thyolo, in terms of what worked well and less well.</w:t>
      </w:r>
    </w:p>
    <w:p w14:paraId="32261867" w14:textId="752E77D1" w:rsidR="00FC5DBB" w:rsidRPr="0018207B" w:rsidRDefault="00FC5DBB" w:rsidP="00FC5DBB">
      <w:pPr>
        <w:pStyle w:val="CEPADiagramLabel"/>
      </w:pPr>
      <w:r>
        <w:t xml:space="preserve">Table </w:t>
      </w:r>
      <w:r w:rsidR="006E2513">
        <w:t>3.</w:t>
      </w:r>
      <w:r w:rsidR="0028586E">
        <w:t>5</w:t>
      </w:r>
      <w:r>
        <w:t xml:space="preserve">: Positive and negative </w:t>
      </w:r>
      <w:r w:rsidR="007E1D2E">
        <w:t>attributes</w:t>
      </w:r>
      <w:r>
        <w:t xml:space="preserve"> </w:t>
      </w:r>
      <w:r w:rsidR="007E1D2E">
        <w:t>of</w:t>
      </w:r>
      <w:r>
        <w:t xml:space="preserve"> the BM</w:t>
      </w:r>
      <w:r w:rsidDel="00912F86">
        <w:t xml:space="preserve"> </w:t>
      </w:r>
      <w:r>
        <w:t>device in Thyolo, Malawi</w:t>
      </w:r>
    </w:p>
    <w:tbl>
      <w:tblPr>
        <w:tblStyle w:val="TableGrid"/>
        <w:tblW w:w="4955"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467"/>
        <w:gridCol w:w="4468"/>
      </w:tblGrid>
      <w:tr w:rsidR="008E278A" w14:paraId="6B0ABEE1" w14:textId="77777777" w:rsidTr="008E278A">
        <w:trPr>
          <w:trHeight w:val="358"/>
          <w:tblHeader/>
        </w:trPr>
        <w:tc>
          <w:tcPr>
            <w:tcW w:w="2500" w:type="pct"/>
            <w:shd w:val="solid" w:color="4B86CD" w:fill="auto"/>
          </w:tcPr>
          <w:p w14:paraId="4A795EAC" w14:textId="77777777" w:rsidR="008E278A" w:rsidRPr="0018207B" w:rsidRDefault="008E278A" w:rsidP="008E278A">
            <w:pPr>
              <w:pStyle w:val="CEPATabletext"/>
              <w:rPr>
                <w:b/>
                <w:color w:val="FFFFFF"/>
              </w:rPr>
            </w:pPr>
            <w:r>
              <w:rPr>
                <w:b/>
                <w:color w:val="FFFFFF"/>
              </w:rPr>
              <w:t>Positive attributes</w:t>
            </w:r>
          </w:p>
        </w:tc>
        <w:tc>
          <w:tcPr>
            <w:tcW w:w="2500" w:type="pct"/>
            <w:shd w:val="solid" w:color="4B86CD" w:fill="auto"/>
          </w:tcPr>
          <w:p w14:paraId="2D31D024" w14:textId="77777777" w:rsidR="008E278A" w:rsidRPr="0018207B" w:rsidRDefault="008E278A" w:rsidP="008E278A">
            <w:pPr>
              <w:pStyle w:val="CEPATabletext"/>
              <w:rPr>
                <w:b/>
                <w:color w:val="FFFFFF"/>
              </w:rPr>
            </w:pPr>
            <w:r>
              <w:rPr>
                <w:b/>
                <w:color w:val="FFFFFF"/>
              </w:rPr>
              <w:t>Negative attributes</w:t>
            </w:r>
          </w:p>
        </w:tc>
      </w:tr>
      <w:tr w:rsidR="008E278A" w14:paraId="48BE8C24" w14:textId="77777777" w:rsidTr="008E278A">
        <w:trPr>
          <w:trHeight w:val="358"/>
        </w:trPr>
        <w:tc>
          <w:tcPr>
            <w:tcW w:w="2500" w:type="pct"/>
          </w:tcPr>
          <w:p w14:paraId="1649BAB9" w14:textId="39D8BD9C" w:rsidR="008E278A" w:rsidRDefault="008E278A" w:rsidP="00846486">
            <w:pPr>
              <w:pStyle w:val="CEPATabletext"/>
              <w:numPr>
                <w:ilvl w:val="0"/>
                <w:numId w:val="11"/>
              </w:numPr>
              <w:ind w:left="157" w:hanging="180"/>
            </w:pPr>
            <w:r>
              <w:rPr>
                <w:b/>
              </w:rPr>
              <w:t xml:space="preserve">Use: </w:t>
            </w:r>
            <w:r>
              <w:t>Sample collection can be DBS (as well as plasma)</w:t>
            </w:r>
          </w:p>
          <w:p w14:paraId="258CFDC9" w14:textId="77777777" w:rsidR="008E278A" w:rsidRDefault="008E278A" w:rsidP="00846486">
            <w:pPr>
              <w:pStyle w:val="CEPATabletext"/>
              <w:numPr>
                <w:ilvl w:val="0"/>
                <w:numId w:val="11"/>
              </w:numPr>
              <w:ind w:left="157" w:hanging="180"/>
            </w:pPr>
            <w:r>
              <w:rPr>
                <w:b/>
              </w:rPr>
              <w:t>Use:</w:t>
            </w:r>
            <w:r>
              <w:t xml:space="preserve"> Results provided for specific copies/ml</w:t>
            </w:r>
          </w:p>
        </w:tc>
        <w:tc>
          <w:tcPr>
            <w:tcW w:w="2500" w:type="pct"/>
          </w:tcPr>
          <w:p w14:paraId="2CF0D2CD" w14:textId="77777777" w:rsidR="008E278A" w:rsidRDefault="008E278A" w:rsidP="00846486">
            <w:pPr>
              <w:pStyle w:val="CEPATabletext"/>
              <w:numPr>
                <w:ilvl w:val="0"/>
                <w:numId w:val="11"/>
              </w:numPr>
              <w:ind w:left="157" w:hanging="180"/>
            </w:pPr>
            <w:r>
              <w:rPr>
                <w:b/>
              </w:rPr>
              <w:t xml:space="preserve">Market: </w:t>
            </w:r>
            <w:r>
              <w:t>Delays for BM with reagents and maintenance support from manufacturer</w:t>
            </w:r>
          </w:p>
          <w:p w14:paraId="2DD3C097" w14:textId="77777777" w:rsidR="008E278A" w:rsidRDefault="008E278A" w:rsidP="00846486">
            <w:pPr>
              <w:pStyle w:val="CEPATabletext"/>
              <w:numPr>
                <w:ilvl w:val="0"/>
                <w:numId w:val="11"/>
              </w:numPr>
              <w:ind w:left="157" w:hanging="180"/>
            </w:pPr>
            <w:r>
              <w:rPr>
                <w:b/>
              </w:rPr>
              <w:t xml:space="preserve">Use: </w:t>
            </w:r>
            <w:r w:rsidRPr="00980661">
              <w:t>BM requires substantial amount of maintenance</w:t>
            </w:r>
          </w:p>
          <w:p w14:paraId="2F902A96" w14:textId="77777777" w:rsidR="008E278A" w:rsidRDefault="008E278A" w:rsidP="00846486">
            <w:pPr>
              <w:pStyle w:val="CEPATabletext"/>
              <w:numPr>
                <w:ilvl w:val="0"/>
                <w:numId w:val="11"/>
              </w:numPr>
              <w:ind w:left="157" w:hanging="180"/>
            </w:pPr>
            <w:r>
              <w:rPr>
                <w:b/>
              </w:rPr>
              <w:t xml:space="preserve">Comparison: </w:t>
            </w:r>
            <w:r>
              <w:t xml:space="preserve">BM much more labour intensive than the Abbott machine (requiring manual labour), producing more waste, and can run fewer samples. </w:t>
            </w:r>
          </w:p>
        </w:tc>
      </w:tr>
    </w:tbl>
    <w:p w14:paraId="0EF6D86A" w14:textId="6DA4DA15" w:rsidR="00550DD3" w:rsidRDefault="007E1D2E" w:rsidP="008E278A">
      <w:pPr>
        <w:pStyle w:val="CEPABullets"/>
        <w:numPr>
          <w:ilvl w:val="0"/>
          <w:numId w:val="0"/>
        </w:numPr>
      </w:pPr>
      <w:r>
        <w:t>Given that routine VL testing had not previously been undertaken at the district level, t</w:t>
      </w:r>
      <w:r w:rsidR="008E278A">
        <w:t xml:space="preserve">he main contribution of the MSF project in Thyolo helped </w:t>
      </w:r>
      <w:r w:rsidR="008E278A" w:rsidRPr="00131F80">
        <w:rPr>
          <w:b/>
        </w:rPr>
        <w:t>demonstrate the feasibility of lab-based routine VL testing at the district level</w:t>
      </w:r>
      <w:r w:rsidR="008E278A">
        <w:t xml:space="preserve">. </w:t>
      </w:r>
      <w:r>
        <w:t xml:space="preserve">In particular, use of DBS, and an effective ‘whole cascade’ approach (e.g. </w:t>
      </w:r>
      <w:r w:rsidR="00550DD3">
        <w:t xml:space="preserve">sample collection, </w:t>
      </w:r>
      <w:r>
        <w:t xml:space="preserve">transport of samples </w:t>
      </w:r>
      <w:r w:rsidR="00550DD3">
        <w:t xml:space="preserve">to and from Laboratory </w:t>
      </w:r>
      <w:r>
        <w:t>etc) proved that this was possible</w:t>
      </w:r>
      <w:r w:rsidR="00550DD3">
        <w:t>. Notable successes include:</w:t>
      </w:r>
    </w:p>
    <w:p w14:paraId="0368C84C" w14:textId="785EFA54" w:rsidR="00550DD3" w:rsidRDefault="00E53174" w:rsidP="00337DE2">
      <w:pPr>
        <w:pStyle w:val="CEPABullets"/>
      </w:pPr>
      <w:r w:rsidRPr="00E53174">
        <w:rPr>
          <w:b/>
        </w:rPr>
        <w:t>Public health successes</w:t>
      </w:r>
      <w:r>
        <w:t xml:space="preserve"> in terms of i</w:t>
      </w:r>
      <w:r w:rsidR="00550DD3">
        <w:t>mprovement in switching rate to second line</w:t>
      </w:r>
      <w:r w:rsidR="009939E6">
        <w:rPr>
          <w:rStyle w:val="FootnoteReference"/>
        </w:rPr>
        <w:footnoteReference w:id="60"/>
      </w:r>
      <w:r>
        <w:t xml:space="preserve"> and v</w:t>
      </w:r>
      <w:r w:rsidR="00550DD3">
        <w:t xml:space="preserve">alidation of DBS sample collection, therefore </w:t>
      </w:r>
      <w:r w:rsidR="00777244">
        <w:t>allowing more remote health posts to conduct testing</w:t>
      </w:r>
      <w:r>
        <w:t>.</w:t>
      </w:r>
      <w:r w:rsidR="00BF3EA7">
        <w:rPr>
          <w:rStyle w:val="FootnoteReference"/>
        </w:rPr>
        <w:footnoteReference w:id="61"/>
      </w:r>
    </w:p>
    <w:p w14:paraId="6578157B" w14:textId="77777777" w:rsidR="008E278A" w:rsidRDefault="008E278A" w:rsidP="008E278A">
      <w:pPr>
        <w:pStyle w:val="CEPABullets"/>
      </w:pPr>
      <w:r>
        <w:t xml:space="preserve">While diagnostics platforms were changed during the course of the project, these were well managed and </w:t>
      </w:r>
      <w:r w:rsidRPr="00131F80">
        <w:rPr>
          <w:b/>
        </w:rPr>
        <w:t>MSF adapted their work to the needs and requirements of the government</w:t>
      </w:r>
      <w:r>
        <w:t xml:space="preserve">. For </w:t>
      </w:r>
      <w:r w:rsidRPr="00A25AB5">
        <w:t>example, MSF negotiated a rental agreement for the Abbott product to help better manage co</w:t>
      </w:r>
      <w:r>
        <w:t xml:space="preserve">sts and also </w:t>
      </w:r>
      <w:r w:rsidRPr="004F05DF">
        <w:t xml:space="preserve">transferred </w:t>
      </w:r>
      <w:r>
        <w:t xml:space="preserve">the BM machine to Zimbabwe for use. </w:t>
      </w:r>
    </w:p>
    <w:p w14:paraId="4ADCF7AF" w14:textId="55F2E60B" w:rsidR="008E278A" w:rsidRDefault="008E278A" w:rsidP="008E278A">
      <w:pPr>
        <w:pStyle w:val="CEPABullets"/>
      </w:pPr>
      <w:r>
        <w:t xml:space="preserve">The </w:t>
      </w:r>
      <w:r w:rsidRPr="00A25AB5">
        <w:rPr>
          <w:b/>
        </w:rPr>
        <w:t>rental agreement</w:t>
      </w:r>
      <w:r>
        <w:t xml:space="preserve"> </w:t>
      </w:r>
      <w:r w:rsidR="00151FC5">
        <w:t xml:space="preserve">with the Abbott </w:t>
      </w:r>
      <w:r w:rsidR="004D0E48">
        <w:t>p</w:t>
      </w:r>
      <w:r w:rsidR="00151FC5">
        <w:t xml:space="preserve">latform </w:t>
      </w:r>
      <w:r>
        <w:t xml:space="preserve">was particularly noted as an important initiative to circumvent high outright purchase prices for countries, especially in circumstances of uncertainty on continued use. </w:t>
      </w:r>
    </w:p>
    <w:p w14:paraId="1A16D2E9" w14:textId="77777777" w:rsidR="008E278A" w:rsidRDefault="008E278A" w:rsidP="008E278A">
      <w:pPr>
        <w:pStyle w:val="CEPABullets"/>
      </w:pPr>
      <w:r>
        <w:t xml:space="preserve">The work by MSF was well documented and shared at the national level in terms of lessons learnt for </w:t>
      </w:r>
      <w:r w:rsidRPr="00DE7E3A">
        <w:rPr>
          <w:b/>
        </w:rPr>
        <w:t>policy impact</w:t>
      </w:r>
      <w:r>
        <w:t>. The good relationship between MSF and the DHO also helped reach policy makers at national level.</w:t>
      </w:r>
      <w:r w:rsidRPr="00DE7E3A">
        <w:t xml:space="preserve"> </w:t>
      </w:r>
    </w:p>
    <w:p w14:paraId="4993FCA2" w14:textId="6270292F" w:rsidR="00E53174" w:rsidRDefault="008E278A" w:rsidP="006C55C0">
      <w:pPr>
        <w:pStyle w:val="CEPAReportText"/>
      </w:pPr>
      <w:r>
        <w:t xml:space="preserve">We understand that </w:t>
      </w:r>
      <w:r w:rsidRPr="00CE1C20">
        <w:rPr>
          <w:b/>
        </w:rPr>
        <w:t xml:space="preserve">MSF has handed over the whole ART cohort to the </w:t>
      </w:r>
      <w:r w:rsidR="00B61C4F">
        <w:rPr>
          <w:b/>
        </w:rPr>
        <w:t>MOH</w:t>
      </w:r>
      <w:r>
        <w:t xml:space="preserve"> at the end of 2015. </w:t>
      </w:r>
      <w:r w:rsidR="00A5136C" w:rsidRPr="00A5136C">
        <w:t>They had been providing support in 26 health facilities to an ART cohort of approximately 46,000 patients</w:t>
      </w:r>
      <w:r w:rsidR="00A5136C">
        <w:t xml:space="preserve">. </w:t>
      </w:r>
      <w:r>
        <w:t xml:space="preserve">VL testing was handed over as part of the broader </w:t>
      </w:r>
      <w:r w:rsidR="003C6684">
        <w:t>hand-over</w:t>
      </w:r>
      <w:r>
        <w:t xml:space="preserve"> of the MSF ART cohort and the core of the </w:t>
      </w:r>
      <w:r w:rsidR="00B55E9C">
        <w:t>Unitaid</w:t>
      </w:r>
      <w:r>
        <w:t xml:space="preserve"> funding was terminated.</w:t>
      </w:r>
      <w:r>
        <w:rPr>
          <w:rStyle w:val="FootnoteReference"/>
        </w:rPr>
        <w:footnoteReference w:id="62"/>
      </w:r>
      <w:r>
        <w:t xml:space="preserve"> </w:t>
      </w:r>
    </w:p>
    <w:p w14:paraId="49DB3B68" w14:textId="56D4B963" w:rsidR="00E53174" w:rsidRDefault="00FC5DBB" w:rsidP="006C55C0">
      <w:pPr>
        <w:pStyle w:val="CEPAReportText"/>
      </w:pPr>
      <w:r>
        <w:t xml:space="preserve">A key aspect of the MSF work was the </w:t>
      </w:r>
      <w:r w:rsidRPr="00CE1C20">
        <w:rPr>
          <w:b/>
        </w:rPr>
        <w:t>management of the DBS approach</w:t>
      </w:r>
      <w:r>
        <w:t>, which demonstrated its effectiveness for broader scale-up by the government</w:t>
      </w:r>
      <w:r w:rsidR="00327D22">
        <w:t xml:space="preserve"> which according to consultations is estimated to now be used for at least 90% of the testing</w:t>
      </w:r>
      <w:r>
        <w:t xml:space="preserve">. The MSF work demonstrated the </w:t>
      </w:r>
      <w:r w:rsidR="004D0E48">
        <w:t>finger-prick</w:t>
      </w:r>
      <w:r>
        <w:t xml:space="preserve"> test for DBS, and together with the important work around task shifting mentioned above, supported</w:t>
      </w:r>
      <w:r w:rsidR="00F3745A">
        <w:t xml:space="preserve"> a relatively</w:t>
      </w:r>
      <w:r>
        <w:t xml:space="preserve"> high testing coverage</w:t>
      </w:r>
      <w:r w:rsidR="00F3745A">
        <w:t xml:space="preserve"> of</w:t>
      </w:r>
      <w:r w:rsidR="00F12BEE" w:rsidRPr="00F12BEE">
        <w:t xml:space="preserve"> 56%</w:t>
      </w:r>
      <w:r>
        <w:t>.</w:t>
      </w:r>
      <w:r w:rsidR="00F12BEE">
        <w:rPr>
          <w:rStyle w:val="FootnoteReference"/>
        </w:rPr>
        <w:footnoteReference w:id="63"/>
      </w:r>
      <w:r>
        <w:t xml:space="preserve"> </w:t>
      </w:r>
    </w:p>
    <w:p w14:paraId="50DA98EF" w14:textId="7A82ECA1" w:rsidR="00FC64E4" w:rsidRDefault="00FC64E4" w:rsidP="006C55C0">
      <w:pPr>
        <w:pStyle w:val="CEPAReportText"/>
      </w:pPr>
      <w:r>
        <w:t>Another key aspect, while not exclusive to the MSF work, was the effective functioning of the CAGs, which contributed to overall successes/ results during the pilot. Box 3.2 provides some details on their functioning</w:t>
      </w:r>
      <w:r w:rsidR="00525D19">
        <w:t>, which worked across a number of countries in addition to Malawi</w:t>
      </w:r>
      <w:r>
        <w:t>.</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2F2F2" w:themeFill="background1" w:themeFillShade="F2"/>
        <w:tblLook w:val="04A0" w:firstRow="1" w:lastRow="0" w:firstColumn="1" w:lastColumn="0" w:noHBand="0" w:noVBand="1"/>
      </w:tblPr>
      <w:tblGrid>
        <w:gridCol w:w="9016"/>
      </w:tblGrid>
      <w:tr w:rsidR="00FC64E4" w:rsidRPr="006935C6" w14:paraId="1EDE6636" w14:textId="77777777" w:rsidTr="00FC64E4">
        <w:trPr>
          <w:tblHeader/>
        </w:trPr>
        <w:tc>
          <w:tcPr>
            <w:tcW w:w="5000" w:type="pct"/>
            <w:shd w:val="clear" w:color="auto" w:fill="F2F2F2" w:themeFill="background1" w:themeFillShade="F2"/>
          </w:tcPr>
          <w:p w14:paraId="6D29F073" w14:textId="3C73C618" w:rsidR="00FC64E4" w:rsidRDefault="00FC64E4" w:rsidP="00FC64E4">
            <w:pPr>
              <w:pStyle w:val="CEPATabletext"/>
              <w:rPr>
                <w:b/>
              </w:rPr>
            </w:pPr>
            <w:r>
              <w:rPr>
                <w:b/>
              </w:rPr>
              <w:t xml:space="preserve">Box 3.2: </w:t>
            </w:r>
            <w:r w:rsidRPr="00C84D42">
              <w:rPr>
                <w:b/>
              </w:rPr>
              <w:t xml:space="preserve">Bringing treatment closer to home and empowering patients: Lessons learnt from implementing </w:t>
            </w:r>
            <w:r w:rsidR="00BC6B8E">
              <w:rPr>
                <w:b/>
              </w:rPr>
              <w:t xml:space="preserve">the </w:t>
            </w:r>
            <w:r w:rsidRPr="00C84D42">
              <w:rPr>
                <w:b/>
              </w:rPr>
              <w:t>CAG</w:t>
            </w:r>
            <w:r w:rsidR="00BC6B8E">
              <w:rPr>
                <w:b/>
              </w:rPr>
              <w:t xml:space="preserve"> model</w:t>
            </w:r>
            <w:r w:rsidRPr="00C84D42">
              <w:rPr>
                <w:b/>
              </w:rPr>
              <w:t xml:space="preserve"> in Malawi, Mozambique and Zimbabwe</w:t>
            </w:r>
          </w:p>
          <w:p w14:paraId="29812262" w14:textId="5809AC37" w:rsidR="00FC64E4" w:rsidRDefault="00BC6B8E" w:rsidP="00FC64E4">
            <w:pPr>
              <w:pStyle w:val="CEPATabletext"/>
            </w:pPr>
            <w:r>
              <w:t xml:space="preserve">The </w:t>
            </w:r>
            <w:r w:rsidR="00FC64E4" w:rsidRPr="00C84D42">
              <w:t>CAG</w:t>
            </w:r>
            <w:r>
              <w:t xml:space="preserve"> model was</w:t>
            </w:r>
            <w:r w:rsidR="00FC64E4" w:rsidRPr="00C84D42">
              <w:t xml:space="preserve"> </w:t>
            </w:r>
            <w:r w:rsidR="00FC64E4">
              <w:t xml:space="preserve">originally piloted in Mozambique </w:t>
            </w:r>
            <w:r w:rsidR="00FC64E4" w:rsidRPr="00C84D42">
              <w:t>for ART distribution, whereby groups of PLHIV rotate for clinic visits and drug refills at the clinic while dispensing drugs to their peers in the community and ensuring peer support.</w:t>
            </w:r>
            <w:r w:rsidR="00FC64E4" w:rsidRPr="004F11DC">
              <w:t xml:space="preserve"> </w:t>
            </w:r>
            <w:r w:rsidR="00FC64E4">
              <w:rPr>
                <w:rStyle w:val="FootnoteReference"/>
              </w:rPr>
              <w:footnoteReference w:id="64"/>
            </w:r>
            <w:r w:rsidR="00FC64E4">
              <w:t xml:space="preserve"> Through this project, this model has been particularly beneficial for supporting VL monitoring, adherence, reducing access barriers and introducing health system efficiencies. Through our consultations in Thyolo, and Zimbabwe, we learnt the following:</w:t>
            </w:r>
          </w:p>
          <w:p w14:paraId="6782C577" w14:textId="548A8615" w:rsidR="006C55C0" w:rsidRPr="006E52A9" w:rsidRDefault="00FC64E4" w:rsidP="00E53174">
            <w:pPr>
              <w:pStyle w:val="CEPATabletext"/>
            </w:pPr>
            <w:r>
              <w:t xml:space="preserve">In terms of supporting </w:t>
            </w:r>
            <w:r w:rsidRPr="00211EF9">
              <w:rPr>
                <w:b/>
              </w:rPr>
              <w:t>access</w:t>
            </w:r>
            <w:r w:rsidRPr="00A13158">
              <w:t>, u</w:t>
            </w:r>
            <w:r w:rsidRPr="003F4169">
              <w:t>sing PLHIV volunteers as ‘champions’ has helped to spread the word about the importance of VL testing. One beneficiary</w:t>
            </w:r>
            <w:r>
              <w:t xml:space="preserve"> in Thyolo</w:t>
            </w:r>
            <w:r w:rsidRPr="003F4169">
              <w:t xml:space="preserve"> noted how they had obtained their understanding of the need for VL testing, as well as interpretation of the result</w:t>
            </w:r>
            <w:r>
              <w:t>,</w:t>
            </w:r>
            <w:r w:rsidRPr="003F4169">
              <w:t xml:space="preserve"> from being part of a CAG. In Thyolo, </w:t>
            </w:r>
            <w:r w:rsidR="00BC6B8E">
              <w:t xml:space="preserve">the </w:t>
            </w:r>
            <w:r w:rsidRPr="003F4169">
              <w:t>CAG</w:t>
            </w:r>
            <w:r w:rsidR="00BC6B8E">
              <w:t xml:space="preserve"> model</w:t>
            </w:r>
            <w:r w:rsidRPr="003F4169">
              <w:t xml:space="preserve"> has enabled VL testing interventions to reach people in areas that could not otherwise have been reached</w:t>
            </w:r>
            <w:r>
              <w:t>.</w:t>
            </w:r>
            <w:r w:rsidR="00E53174">
              <w:t xml:space="preserve"> </w:t>
            </w:r>
            <w:r>
              <w:t xml:space="preserve">In terms of </w:t>
            </w:r>
            <w:r w:rsidRPr="00204DCB">
              <w:rPr>
                <w:b/>
              </w:rPr>
              <w:t xml:space="preserve">adherence support and </w:t>
            </w:r>
            <w:r>
              <w:rPr>
                <w:b/>
              </w:rPr>
              <w:t>VL monitoring</w:t>
            </w:r>
            <w:r>
              <w:t>, t</w:t>
            </w:r>
            <w:r w:rsidRPr="00C84D42">
              <w:t xml:space="preserve">he CAG </w:t>
            </w:r>
            <w:r>
              <w:t xml:space="preserve">model </w:t>
            </w:r>
            <w:r w:rsidRPr="008424F2">
              <w:t>reinforce</w:t>
            </w:r>
            <w:r w:rsidR="00BC6B8E">
              <w:t>s</w:t>
            </w:r>
            <w:r w:rsidRPr="008424F2">
              <w:t xml:space="preserve"> peer support to PLHIV</w:t>
            </w:r>
            <w:r>
              <w:t>, through which adherence is encouraged,</w:t>
            </w:r>
            <w:r w:rsidRPr="008424F2">
              <w:t xml:space="preserve"> at the community level.</w:t>
            </w:r>
            <w:r>
              <w:t xml:space="preserve"> Furthermore, t</w:t>
            </w:r>
            <w:r w:rsidRPr="00336FD6">
              <w:t xml:space="preserve">he individual who collects ART, also gets their VL test </w:t>
            </w:r>
            <w:r>
              <w:t>conducted</w:t>
            </w:r>
            <w:r w:rsidRPr="00336FD6">
              <w:t xml:space="preserve"> </w:t>
            </w:r>
            <w:r>
              <w:t>during that visit, this encouraging take up of VL monitoring</w:t>
            </w:r>
            <w:r w:rsidRPr="00336FD6">
              <w:t>.</w:t>
            </w:r>
            <w:r w:rsidR="00E53174">
              <w:t xml:space="preserve"> </w:t>
            </w:r>
            <w:r>
              <w:t xml:space="preserve">In terms of </w:t>
            </w:r>
            <w:r w:rsidRPr="009A389F">
              <w:rPr>
                <w:b/>
              </w:rPr>
              <w:t>health system efficiencies</w:t>
            </w:r>
            <w:r>
              <w:t>, t</w:t>
            </w:r>
            <w:r w:rsidRPr="00C84D42">
              <w:t xml:space="preserve">he CAG model provides an </w:t>
            </w:r>
            <w:r>
              <w:t>example of decongesting</w:t>
            </w:r>
            <w:r w:rsidRPr="00C84D42">
              <w:t xml:space="preserve"> over-burdened health </w:t>
            </w:r>
            <w:r>
              <w:t>facilities by reducing the number of clinic visits as individuals collect ART for group members.</w:t>
            </w:r>
          </w:p>
        </w:tc>
      </w:tr>
    </w:tbl>
    <w:p w14:paraId="7A35C2DC" w14:textId="77777777" w:rsidR="008E278A" w:rsidRDefault="008E278A" w:rsidP="008E278A">
      <w:pPr>
        <w:pStyle w:val="CEPABullets"/>
        <w:numPr>
          <w:ilvl w:val="0"/>
          <w:numId w:val="0"/>
        </w:numPr>
      </w:pPr>
      <w:r>
        <w:t>While the programme as a whole worked well in country, aspects flagged by stakeholders where there was room for improvement included:</w:t>
      </w:r>
    </w:p>
    <w:p w14:paraId="7B8166A8" w14:textId="0E77CFD2" w:rsidR="008E278A" w:rsidRDefault="008E278A" w:rsidP="008E278A">
      <w:pPr>
        <w:pStyle w:val="CEPABullets"/>
      </w:pPr>
      <w:r>
        <w:t xml:space="preserve">Need for training of additional health workers to </w:t>
      </w:r>
      <w:r w:rsidR="002507F9">
        <w:t>undertake</w:t>
      </w:r>
      <w:r w:rsidRPr="008400F0">
        <w:t xml:space="preserve"> DBS</w:t>
      </w:r>
      <w:r w:rsidR="002507F9">
        <w:t xml:space="preserve"> sample collection</w:t>
      </w:r>
      <w:r>
        <w:t>,</w:t>
      </w:r>
      <w:r w:rsidRPr="008400F0">
        <w:t xml:space="preserve"> as there w</w:t>
      </w:r>
      <w:r w:rsidR="002D585C">
        <w:t>as</w:t>
      </w:r>
      <w:r w:rsidRPr="008400F0">
        <w:t xml:space="preserve"> a limited number post project.</w:t>
      </w:r>
    </w:p>
    <w:p w14:paraId="2E4C3B3C" w14:textId="715F7068" w:rsidR="008E278A" w:rsidRPr="00D0009C" w:rsidRDefault="003C6684" w:rsidP="008E278A">
      <w:pPr>
        <w:pStyle w:val="CEPABullets"/>
      </w:pPr>
      <w:r>
        <w:t>Hand-over</w:t>
      </w:r>
      <w:r w:rsidR="008E278A">
        <w:t xml:space="preserve"> was affected by </w:t>
      </w:r>
      <w:r w:rsidR="008E278A" w:rsidRPr="008400F0">
        <w:t xml:space="preserve">lack of motivation from </w:t>
      </w:r>
      <w:r w:rsidR="00B61C4F">
        <w:t>MOH</w:t>
      </w:r>
      <w:r w:rsidR="008E278A" w:rsidRPr="008400F0">
        <w:t xml:space="preserve"> lab</w:t>
      </w:r>
      <w:r w:rsidR="00037605">
        <w:t>oratory</w:t>
      </w:r>
      <w:r w:rsidR="008E278A" w:rsidRPr="008400F0">
        <w:t xml:space="preserve"> technicians.</w:t>
      </w:r>
      <w:r w:rsidR="008E278A">
        <w:t xml:space="preserve"> A missed opportunity was not to have employed </w:t>
      </w:r>
      <w:r w:rsidR="00B61C4F">
        <w:t>MOH</w:t>
      </w:r>
      <w:r w:rsidR="008E278A">
        <w:t xml:space="preserve"> staff earlier to conduct testing.</w:t>
      </w:r>
    </w:p>
    <w:p w14:paraId="3D893E8B" w14:textId="62DCF0EF" w:rsidR="008E278A" w:rsidRPr="00DC1B28" w:rsidRDefault="00CF0EFF" w:rsidP="008E278A">
      <w:pPr>
        <w:pStyle w:val="CEPABullets"/>
        <w:rPr>
          <w:lang w:val="en-US"/>
        </w:rPr>
      </w:pPr>
      <w:r>
        <w:t>Recommendations from the</w:t>
      </w:r>
      <w:r w:rsidR="008E278A">
        <w:t xml:space="preserve"> </w:t>
      </w:r>
      <w:r w:rsidR="008E278A" w:rsidRPr="00D22156">
        <w:rPr>
          <w:i/>
        </w:rPr>
        <w:t>I</w:t>
      </w:r>
      <w:r w:rsidR="007405D6" w:rsidRPr="00D22156">
        <w:rPr>
          <w:i/>
        </w:rPr>
        <w:t>NCLUSIVE</w:t>
      </w:r>
      <w:r w:rsidR="008E278A">
        <w:t xml:space="preserve"> report</w:t>
      </w:r>
      <w:r w:rsidR="00037605">
        <w:t xml:space="preserve"> (</w:t>
      </w:r>
      <w:r w:rsidR="00037605" w:rsidRPr="00037605">
        <w:t>which proposed specific national VL landscape with a (semi-) centralised management of high volume of routine VL samples plus POC as a complementary strategy, provided through private-public trusts</w:t>
      </w:r>
      <w:r w:rsidR="00037605">
        <w:t>)</w:t>
      </w:r>
      <w:r w:rsidR="00037605" w:rsidRPr="00037605">
        <w:t xml:space="preserve">, </w:t>
      </w:r>
      <w:r w:rsidR="003C1308">
        <w:t>were</w:t>
      </w:r>
      <w:r w:rsidR="008E278A" w:rsidDel="003C1308">
        <w:t xml:space="preserve"> </w:t>
      </w:r>
      <w:r w:rsidR="008E278A">
        <w:t>not taken up by o</w:t>
      </w:r>
      <w:r w:rsidR="003C1308">
        <w:t>th</w:t>
      </w:r>
      <w:r w:rsidR="008E278A">
        <w:t xml:space="preserve">er VL actors/ donors, </w:t>
      </w:r>
      <w:r w:rsidR="003C1308">
        <w:t xml:space="preserve">in part </w:t>
      </w:r>
      <w:r w:rsidR="008E278A">
        <w:t>because the report was produced very late.</w:t>
      </w:r>
      <w:r w:rsidR="00E10BAE">
        <w:rPr>
          <w:rStyle w:val="FootnoteReference"/>
        </w:rPr>
        <w:footnoteReference w:id="65"/>
      </w:r>
      <w:r w:rsidR="008E278A">
        <w:t xml:space="preserve"> </w:t>
      </w:r>
    </w:p>
    <w:p w14:paraId="4A9212B7" w14:textId="2BC1B9EA" w:rsidR="009E0503" w:rsidRDefault="009E0503" w:rsidP="009E0503">
      <w:pPr>
        <w:pStyle w:val="CEPAReportText"/>
      </w:pPr>
      <w:r>
        <w:t xml:space="preserve">More broadly, both OCP and OCB coordinated with </w:t>
      </w:r>
      <w:r w:rsidR="0045491F">
        <w:t>p</w:t>
      </w:r>
      <w:r>
        <w:t>artners through</w:t>
      </w:r>
      <w:r w:rsidR="00490AC1">
        <w:t xml:space="preserve"> technical working groups</w:t>
      </w:r>
      <w:r>
        <w:t xml:space="preserve"> </w:t>
      </w:r>
      <w:r w:rsidR="00490AC1">
        <w:t>(</w:t>
      </w:r>
      <w:r>
        <w:t>TWGs</w:t>
      </w:r>
      <w:r w:rsidR="00490AC1">
        <w:t>)</w:t>
      </w:r>
      <w:r>
        <w:t xml:space="preserve"> and directly with partners working in their respective districts, such as Riders for Health regarding transport and with Baobab regarding data handling. Whilst not directly attributable, we note that quite a few aspects that MSF were advocating for, were also not encouraged by partners suggesting that possibly evidence sharing and/or coordination could have been improved, for example rental agreements for platforms</w:t>
      </w:r>
      <w:r w:rsidR="004830DC">
        <w:t xml:space="preserve"> (other than the platform rented by </w:t>
      </w:r>
      <w:r>
        <w:t>OCB</w:t>
      </w:r>
      <w:r w:rsidR="004830DC">
        <w:t>)</w:t>
      </w:r>
      <w:r>
        <w:t xml:space="preserve">; </w:t>
      </w:r>
      <w:r w:rsidR="0045491F">
        <w:t xml:space="preserve">and </w:t>
      </w:r>
      <w:r>
        <w:t xml:space="preserve">the </w:t>
      </w:r>
      <w:r w:rsidRPr="0045491F">
        <w:t>INCLUSIVE</w:t>
      </w:r>
      <w:r w:rsidRPr="00A14E14">
        <w:rPr>
          <w:i/>
        </w:rPr>
        <w:t xml:space="preserve"> </w:t>
      </w:r>
      <w:r>
        <w:t xml:space="preserve">report recommendations (OCB). </w:t>
      </w:r>
      <w:r w:rsidR="006C7B51">
        <w:t xml:space="preserve">We also note that MSF OCB and OCP advocated for </w:t>
      </w:r>
      <w:r w:rsidR="000A2991">
        <w:t>different approaches to VL testing</w:t>
      </w:r>
      <w:r w:rsidR="009A62AC">
        <w:t xml:space="preserve"> and whilst these were complementary, this may have been better coordinated</w:t>
      </w:r>
      <w:r w:rsidR="00F20606">
        <w:t>, particularly in terms of engagement with the government</w:t>
      </w:r>
      <w:r w:rsidR="009A62AC">
        <w:t xml:space="preserve">. </w:t>
      </w:r>
    </w:p>
    <w:p w14:paraId="549479CE" w14:textId="3D5877B1" w:rsidR="00845BDC" w:rsidRDefault="00845BDC" w:rsidP="008E278A">
      <w:pPr>
        <w:pStyle w:val="Heading3"/>
        <w:rPr>
          <w:lang w:val="en-US"/>
        </w:rPr>
      </w:pPr>
      <w:r>
        <w:rPr>
          <w:lang w:val="en-US"/>
        </w:rPr>
        <w:t>MSF programme in Zimbabwe</w:t>
      </w:r>
    </w:p>
    <w:p w14:paraId="5CABADA9" w14:textId="12EE52CB" w:rsidR="008E278A" w:rsidRDefault="008E278A" w:rsidP="008E278A">
      <w:pPr>
        <w:pStyle w:val="CEPABullets"/>
        <w:numPr>
          <w:ilvl w:val="0"/>
          <w:numId w:val="0"/>
        </w:numPr>
      </w:pPr>
      <w:r>
        <w:t xml:space="preserve">MSF Brussels provided VL and EID testing in Zimbabwe. </w:t>
      </w:r>
      <w:r w:rsidRPr="004F2709">
        <w:rPr>
          <w:b/>
        </w:rPr>
        <w:t>VL testing</w:t>
      </w:r>
      <w:r>
        <w:t xml:space="preserve"> was performed through: (i) centrally located platforms; and (ii) decentralised testing with tests being conducted in health centres, initially in three MSF supported districts (Buhera, Chikomba and Gutu) and later also </w:t>
      </w:r>
      <w:r w:rsidR="00F65794">
        <w:t>in</w:t>
      </w:r>
      <w:r>
        <w:t xml:space="preserve"> Gweru, Mutare</w:t>
      </w:r>
      <w:r w:rsidR="00C80DCC">
        <w:t xml:space="preserve"> and</w:t>
      </w:r>
      <w:r>
        <w:t xml:space="preserve"> Nyanga.</w:t>
      </w:r>
    </w:p>
    <w:p w14:paraId="597F6055" w14:textId="77777777" w:rsidR="00F054F3" w:rsidRDefault="00F054F3" w:rsidP="00F054F3">
      <w:pPr>
        <w:pStyle w:val="CEPAReportText"/>
      </w:pPr>
      <w:r>
        <w:t xml:space="preserve">Regarding </w:t>
      </w:r>
      <w:r w:rsidRPr="004F2709">
        <w:rPr>
          <w:b/>
        </w:rPr>
        <w:t>EID</w:t>
      </w:r>
      <w:r>
        <w:t xml:space="preserve"> support, this was provided under the PMTCT programme in </w:t>
      </w:r>
      <w:r w:rsidR="008E278A">
        <w:t>three</w:t>
      </w:r>
      <w:r>
        <w:t xml:space="preserve"> sites within </w:t>
      </w:r>
      <w:r w:rsidR="008E278A">
        <w:t>two</w:t>
      </w:r>
      <w:r>
        <w:t xml:space="preserve"> districts. Studies were also conducted on the </w:t>
      </w:r>
      <w:r w:rsidRPr="00E1457D">
        <w:rPr>
          <w:b/>
        </w:rPr>
        <w:t>integration of EID and VL</w:t>
      </w:r>
      <w:r>
        <w:t>. These included:</w:t>
      </w:r>
    </w:p>
    <w:p w14:paraId="069F8F60" w14:textId="362B9732" w:rsidR="00F054F3" w:rsidRPr="00520B5A" w:rsidRDefault="00F054F3" w:rsidP="00F054F3">
      <w:pPr>
        <w:pStyle w:val="CEPABullets"/>
      </w:pPr>
      <w:r w:rsidRPr="00520B5A">
        <w:t xml:space="preserve">Study assessing VL and EID testing on the GeneXpert platform and received approval from </w:t>
      </w:r>
      <w:r w:rsidR="00B61C4F">
        <w:t>MOH</w:t>
      </w:r>
      <w:r w:rsidRPr="00520B5A">
        <w:t xml:space="preserve"> to continue it for VL and EID in MSF supported districts.</w:t>
      </w:r>
    </w:p>
    <w:p w14:paraId="324BF7F8" w14:textId="77777777" w:rsidR="00F054F3" w:rsidRPr="00520B5A" w:rsidRDefault="00F054F3" w:rsidP="00F054F3">
      <w:pPr>
        <w:pStyle w:val="CEPABullets"/>
      </w:pPr>
      <w:r w:rsidRPr="00520B5A">
        <w:t>An economic evaluation of VL testing and EID</w:t>
      </w:r>
      <w:r>
        <w:t xml:space="preserve"> including on the viability in a </w:t>
      </w:r>
      <w:r w:rsidRPr="00520B5A">
        <w:t>rural district.</w:t>
      </w:r>
    </w:p>
    <w:p w14:paraId="2774B15F" w14:textId="77777777" w:rsidR="00F054F3" w:rsidRDefault="00F054F3" w:rsidP="00F054F3">
      <w:pPr>
        <w:pStyle w:val="CEPABullets"/>
        <w:numPr>
          <w:ilvl w:val="0"/>
          <w:numId w:val="0"/>
        </w:numPr>
      </w:pPr>
      <w:r>
        <w:t>In terms of VL testing, 169,897 samples were processed over the course of the grant from MSF-supported and non MSF-supported sites.</w:t>
      </w:r>
      <w:r>
        <w:rPr>
          <w:rStyle w:val="FootnoteReference"/>
        </w:rPr>
        <w:footnoteReference w:id="66"/>
      </w:r>
      <w:r>
        <w:t xml:space="preserve"> </w:t>
      </w:r>
    </w:p>
    <w:p w14:paraId="42C55FE7" w14:textId="12A33519" w:rsidR="00F054F3" w:rsidRDefault="00F054F3" w:rsidP="00F054F3">
      <w:pPr>
        <w:pStyle w:val="CEPABullets"/>
      </w:pPr>
      <w:r w:rsidRPr="00FC41D6">
        <w:rPr>
          <w:b/>
        </w:rPr>
        <w:t>Buhera</w:t>
      </w:r>
      <w:r>
        <w:t xml:space="preserve">: a total of 64,577 </w:t>
      </w:r>
      <w:r w:rsidR="007B10C8">
        <w:t>VL</w:t>
      </w:r>
      <w:r>
        <w:t xml:space="preserve"> tests from 28 ART sites were performed over the lifetime of the grant, representing 55% of all the </w:t>
      </w:r>
      <w:r w:rsidR="007B10C8">
        <w:t>VL</w:t>
      </w:r>
      <w:r>
        <w:t xml:space="preserve"> tests performed in MSF-supported sites in Zimbabwe. The number of patients in the ART cohort was 19,289, with a </w:t>
      </w:r>
      <w:r w:rsidR="007B10C8">
        <w:t>VL</w:t>
      </w:r>
      <w:r>
        <w:t xml:space="preserve"> coverage rate of 91%.</w:t>
      </w:r>
      <w:r>
        <w:rPr>
          <w:rStyle w:val="FootnoteReference"/>
        </w:rPr>
        <w:footnoteReference w:id="67"/>
      </w:r>
    </w:p>
    <w:p w14:paraId="28FD0B51" w14:textId="0C7E246D" w:rsidR="00F054F3" w:rsidRDefault="00F054F3" w:rsidP="00F054F3">
      <w:pPr>
        <w:pStyle w:val="CEPABullets"/>
      </w:pPr>
      <w:r w:rsidRPr="00FC41D6">
        <w:rPr>
          <w:b/>
        </w:rPr>
        <w:t>Gutu:</w:t>
      </w:r>
      <w:r>
        <w:t xml:space="preserve"> a total of 36,489 </w:t>
      </w:r>
      <w:r w:rsidR="007B10C8">
        <w:t>VL</w:t>
      </w:r>
      <w:r>
        <w:t xml:space="preserve"> tests from 19 ART sites were performed. The number of patients in the ART cohort was 11,944, with a </w:t>
      </w:r>
      <w:r w:rsidR="007B10C8">
        <w:t>VL</w:t>
      </w:r>
      <w:r>
        <w:t xml:space="preserve"> coverage rate of 74%.</w:t>
      </w:r>
      <w:r>
        <w:rPr>
          <w:rStyle w:val="FootnoteReference"/>
        </w:rPr>
        <w:footnoteReference w:id="68"/>
      </w:r>
    </w:p>
    <w:p w14:paraId="0EA7F992" w14:textId="5E48234A" w:rsidR="00F054F3" w:rsidRDefault="00F054F3" w:rsidP="00F054F3">
      <w:pPr>
        <w:pStyle w:val="CEPABullets"/>
      </w:pPr>
      <w:r>
        <w:rPr>
          <w:b/>
        </w:rPr>
        <w:t>Chikomba:</w:t>
      </w:r>
      <w:r>
        <w:t xml:space="preserve"> a total of 16,680 </w:t>
      </w:r>
      <w:r w:rsidR="007B10C8">
        <w:t>VL</w:t>
      </w:r>
      <w:r>
        <w:t xml:space="preserve"> tests were performed.</w:t>
      </w:r>
      <w:r>
        <w:rPr>
          <w:rStyle w:val="FootnoteReference"/>
        </w:rPr>
        <w:footnoteReference w:id="69"/>
      </w:r>
      <w:r>
        <w:t xml:space="preserve"> </w:t>
      </w:r>
    </w:p>
    <w:p w14:paraId="5D1E1307" w14:textId="77777777" w:rsidR="00F054F3" w:rsidRDefault="00F054F3" w:rsidP="008E278A">
      <w:pPr>
        <w:pStyle w:val="CEPAReportText"/>
      </w:pPr>
      <w:r>
        <w:t>The majority of the VL testing was conducted using centrally located BM platforms, with DBS (</w:t>
      </w:r>
      <w:r w:rsidRPr="000E56CE">
        <w:t xml:space="preserve">venous blood </w:t>
      </w:r>
      <w:r>
        <w:t xml:space="preserve">samples) taken from decentralised clinics. The </w:t>
      </w:r>
      <w:r w:rsidRPr="00E1457D">
        <w:t>Buhera</w:t>
      </w:r>
      <w:r>
        <w:t xml:space="preserve"> (2015)</w:t>
      </w:r>
      <w:r w:rsidRPr="00E1457D">
        <w:t xml:space="preserve"> and Chikomba (201</w:t>
      </w:r>
      <w:r>
        <w:t>5/201</w:t>
      </w:r>
      <w:r w:rsidRPr="00E1457D">
        <w:t xml:space="preserve">6) cohorts </w:t>
      </w:r>
      <w:r>
        <w:t>were</w:t>
      </w:r>
      <w:r w:rsidRPr="00E1457D">
        <w:t xml:space="preserve"> handed over</w:t>
      </w:r>
      <w:r>
        <w:t xml:space="preserve"> but</w:t>
      </w:r>
      <w:r w:rsidRPr="00E1457D">
        <w:t xml:space="preserve"> MSF hav</w:t>
      </w:r>
      <w:r>
        <w:t>e continued to provide mentoring support</w:t>
      </w:r>
      <w:r w:rsidRPr="00E1457D">
        <w:t xml:space="preserve"> in Gutu </w:t>
      </w:r>
      <w:r>
        <w:t>(</w:t>
      </w:r>
      <w:r w:rsidRPr="00E1457D">
        <w:t>not for VL specifically</w:t>
      </w:r>
      <w:r>
        <w:t>)</w:t>
      </w:r>
      <w:r w:rsidRPr="00E1457D">
        <w:t>.</w:t>
      </w:r>
      <w:r>
        <w:t xml:space="preserve"> Furthermore, during the course of the project, MSF provided additional support to other districts, particularly to support scale up.</w:t>
      </w:r>
    </w:p>
    <w:p w14:paraId="65CCEE33" w14:textId="77777777" w:rsidR="00F054F3" w:rsidRDefault="00F054F3" w:rsidP="00F054F3">
      <w:pPr>
        <w:pStyle w:val="CEPABullets"/>
        <w:numPr>
          <w:ilvl w:val="0"/>
          <w:numId w:val="0"/>
        </w:numPr>
      </w:pPr>
      <w:r>
        <w:t xml:space="preserve">In terms of </w:t>
      </w:r>
      <w:r w:rsidRPr="00E1457D">
        <w:rPr>
          <w:b/>
        </w:rPr>
        <w:t>activities undertaken for VL testing</w:t>
      </w:r>
      <w:r>
        <w:t>, these included:</w:t>
      </w:r>
    </w:p>
    <w:p w14:paraId="50F9752E" w14:textId="77777777" w:rsidR="008E278A" w:rsidRPr="00E058D0" w:rsidRDefault="008E278A" w:rsidP="008E278A">
      <w:pPr>
        <w:pStyle w:val="CEPABullets"/>
      </w:pPr>
      <w:r>
        <w:rPr>
          <w:b/>
        </w:rPr>
        <w:t>Central laboratory i</w:t>
      </w:r>
      <w:r w:rsidRPr="00E058D0">
        <w:rPr>
          <w:b/>
        </w:rPr>
        <w:t>nfrastructure support</w:t>
      </w:r>
      <w:r>
        <w:t xml:space="preserve">: renovation of the </w:t>
      </w:r>
      <w:r w:rsidRPr="00E2218A">
        <w:t xml:space="preserve">National Microbiology Reference Laboratory (NMRL) </w:t>
      </w:r>
      <w:r>
        <w:t xml:space="preserve">was conducted, including to accommodate the BM platform. </w:t>
      </w:r>
    </w:p>
    <w:p w14:paraId="49DA54EE" w14:textId="64FCE748" w:rsidR="00F054F3" w:rsidRPr="00E2218A" w:rsidRDefault="00F054F3" w:rsidP="00F054F3">
      <w:pPr>
        <w:pStyle w:val="CEPABullets"/>
      </w:pPr>
      <w:r w:rsidRPr="006A16E1">
        <w:rPr>
          <w:b/>
        </w:rPr>
        <w:t>Deployment, and support of  platforms</w:t>
      </w:r>
      <w:r w:rsidR="00F65794">
        <w:rPr>
          <w:b/>
        </w:rPr>
        <w:t>:</w:t>
      </w:r>
      <w:r w:rsidRPr="006A16E1">
        <w:rPr>
          <w:b/>
        </w:rPr>
        <w:t xml:space="preserve"> </w:t>
      </w:r>
      <w:r w:rsidRPr="006A16E1">
        <w:t xml:space="preserve">This included </w:t>
      </w:r>
      <w:r w:rsidRPr="006A16E1">
        <w:rPr>
          <w:b/>
        </w:rPr>
        <w:t>centrally located BM platforms</w:t>
      </w:r>
      <w:r w:rsidRPr="00E2218A">
        <w:t xml:space="preserve">: one installed in </w:t>
      </w:r>
      <w:r w:rsidR="008E278A">
        <w:t xml:space="preserve">the </w:t>
      </w:r>
      <w:r w:rsidR="008E278A" w:rsidRPr="00E2218A">
        <w:t xml:space="preserve">NMRL </w:t>
      </w:r>
      <w:r w:rsidRPr="00E2218A">
        <w:t>Harare Central Hospital, in 2013 and one installed in Beatrice Road Infectious Diseases Hospital (BRIDH), Harare</w:t>
      </w:r>
      <w:r>
        <w:t xml:space="preserve"> (December 2015). Support was also provided for </w:t>
      </w:r>
      <w:r w:rsidRPr="00E058D0">
        <w:t>servicing equipment and calibration</w:t>
      </w:r>
      <w:r>
        <w:t xml:space="preserve">, provision of regents and a </w:t>
      </w:r>
      <w:r w:rsidRPr="00E058D0">
        <w:t>waste management system</w:t>
      </w:r>
      <w:r>
        <w:t xml:space="preserve"> was introduced. With regards to </w:t>
      </w:r>
      <w:r w:rsidRPr="007825C1">
        <w:rPr>
          <w:b/>
        </w:rPr>
        <w:t>deployment of</w:t>
      </w:r>
      <w:r w:rsidRPr="007825C1">
        <w:t xml:space="preserve"> </w:t>
      </w:r>
      <w:r w:rsidRPr="006A16E1">
        <w:rPr>
          <w:b/>
        </w:rPr>
        <w:t>POC VL platforms</w:t>
      </w:r>
      <w:r>
        <w:t>, GeneXpert was t</w:t>
      </w:r>
      <w:r w:rsidRPr="00D1611F">
        <w:t xml:space="preserve">rialled </w:t>
      </w:r>
      <w:r>
        <w:t>in Mutare</w:t>
      </w:r>
      <w:r w:rsidRPr="00D1611F">
        <w:t xml:space="preserve">. </w:t>
      </w:r>
    </w:p>
    <w:p w14:paraId="57F90754" w14:textId="5D6AE3F8" w:rsidR="00F054F3" w:rsidRDefault="00F054F3" w:rsidP="00F054F3">
      <w:pPr>
        <w:pStyle w:val="CEPABullets"/>
      </w:pPr>
      <w:r>
        <w:t xml:space="preserve">Introduction of </w:t>
      </w:r>
      <w:r w:rsidRPr="00905AC9">
        <w:rPr>
          <w:b/>
        </w:rPr>
        <w:t>decentralised DBS sample collection</w:t>
      </w:r>
      <w:r>
        <w:t xml:space="preserve"> and </w:t>
      </w:r>
      <w:r w:rsidRPr="00A03A8A">
        <w:rPr>
          <w:b/>
        </w:rPr>
        <w:t>s</w:t>
      </w:r>
      <w:r w:rsidRPr="00905AC9">
        <w:rPr>
          <w:b/>
        </w:rPr>
        <w:t>upply system support for VL testing</w:t>
      </w:r>
      <w:r>
        <w:t>: This included introduced tracking forms for patients with high VL results</w:t>
      </w:r>
      <w:r w:rsidR="00F65794">
        <w:t>, introduction of M&amp;E tools,</w:t>
      </w:r>
      <w:r>
        <w:t xml:space="preserve"> provision of transport systems</w:t>
      </w:r>
      <w:r w:rsidR="00F65794">
        <w:t xml:space="preserve"> and </w:t>
      </w:r>
      <w:r>
        <w:t xml:space="preserve">training. </w:t>
      </w:r>
    </w:p>
    <w:p w14:paraId="079AFC55" w14:textId="6003A2AD" w:rsidR="00F054F3" w:rsidRDefault="00F65794" w:rsidP="00F054F3">
      <w:pPr>
        <w:pStyle w:val="CEPABullets"/>
      </w:pPr>
      <w:r>
        <w:rPr>
          <w:b/>
        </w:rPr>
        <w:t xml:space="preserve">Training: </w:t>
      </w:r>
      <w:r w:rsidR="00F054F3" w:rsidRPr="00905AC9">
        <w:t xml:space="preserve">At the </w:t>
      </w:r>
      <w:r w:rsidR="00F054F3" w:rsidRPr="00905AC9">
        <w:rPr>
          <w:b/>
        </w:rPr>
        <w:t>decentralised level</w:t>
      </w:r>
      <w:r w:rsidR="00F054F3">
        <w:rPr>
          <w:b/>
        </w:rPr>
        <w:t xml:space="preserve"> </w:t>
      </w:r>
      <w:r w:rsidR="00F054F3" w:rsidRPr="00905AC9">
        <w:t>this included</w:t>
      </w:r>
      <w:r w:rsidR="008E278A">
        <w:t xml:space="preserve"> training for</w:t>
      </w:r>
      <w:r w:rsidR="00F054F3" w:rsidRPr="004E6249">
        <w:t>:</w:t>
      </w:r>
      <w:r w:rsidR="00F054F3">
        <w:t xml:space="preserve"> (i) sample collection (venous blood DBS, not </w:t>
      </w:r>
      <w:r w:rsidR="004D0E48">
        <w:t>finger-prick</w:t>
      </w:r>
      <w:r w:rsidR="00F054F3">
        <w:t xml:space="preserve"> as per </w:t>
      </w:r>
      <w:r w:rsidR="00B61C4F">
        <w:t>MOH</w:t>
      </w:r>
      <w:r w:rsidR="00F054F3">
        <w:t xml:space="preserve"> decision); (ii) </w:t>
      </w:r>
      <w:r w:rsidR="008E278A">
        <w:t>t</w:t>
      </w:r>
      <w:r w:rsidR="008E278A" w:rsidRPr="00B14E9F">
        <w:t>ask</w:t>
      </w:r>
      <w:r w:rsidR="00F054F3" w:rsidRPr="00B14E9F">
        <w:t xml:space="preserve"> shifting</w:t>
      </w:r>
      <w:r w:rsidR="00F054F3">
        <w:t xml:space="preserve"> and training on second line switching; </w:t>
      </w:r>
      <w:r>
        <w:t>(</w:t>
      </w:r>
      <w:r w:rsidR="00F054F3" w:rsidRPr="004E6249">
        <w:t>iii) implementation of VL protocol</w:t>
      </w:r>
      <w:r w:rsidR="00F054F3">
        <w:t xml:space="preserve">. </w:t>
      </w:r>
      <w:r w:rsidR="00F054F3" w:rsidRPr="004E6249">
        <w:t>In addition, a mentoring model was adopted.</w:t>
      </w:r>
      <w:r w:rsidR="00F054F3">
        <w:t xml:space="preserve"> At</w:t>
      </w:r>
      <w:r w:rsidR="00F054F3" w:rsidRPr="00E51424">
        <w:t xml:space="preserve"> the</w:t>
      </w:r>
      <w:r w:rsidR="00F054F3" w:rsidRPr="00905AC9">
        <w:rPr>
          <w:b/>
        </w:rPr>
        <w:t xml:space="preserve"> centralised level</w:t>
      </w:r>
      <w:r w:rsidR="00F054F3">
        <w:t xml:space="preserve">, this included </w:t>
      </w:r>
      <w:r w:rsidR="00F054F3" w:rsidRPr="004E6249">
        <w:t>(i) use of instrumentation/ platform (specialist training for a month) and (</w:t>
      </w:r>
      <w:r w:rsidR="00F054F3">
        <w:t>ii</w:t>
      </w:r>
      <w:r w:rsidR="00F054F3" w:rsidRPr="004E6249">
        <w:t>) training for</w:t>
      </w:r>
      <w:r w:rsidR="00E31EA0">
        <w:t xml:space="preserve"> staff at</w:t>
      </w:r>
      <w:r w:rsidR="00F054F3" w:rsidRPr="004E6249">
        <w:t xml:space="preserve"> lower level lab</w:t>
      </w:r>
      <w:r w:rsidR="00ED11F8">
        <w:t>oratories</w:t>
      </w:r>
      <w:r w:rsidR="00F054F3" w:rsidRPr="004E6249">
        <w:t xml:space="preserve"> to refer to central lab</w:t>
      </w:r>
      <w:r w:rsidR="00ED11F8">
        <w:t>oratories</w:t>
      </w:r>
      <w:r w:rsidR="00F054F3">
        <w:t>.</w:t>
      </w:r>
      <w:r w:rsidR="00F054F3" w:rsidRPr="004E6249">
        <w:t xml:space="preserve"> </w:t>
      </w:r>
    </w:p>
    <w:p w14:paraId="5FCF020C" w14:textId="40F334B0" w:rsidR="00F054F3" w:rsidRDefault="00F65794" w:rsidP="00F054F3">
      <w:pPr>
        <w:pStyle w:val="CEPABullets"/>
      </w:pPr>
      <w:r>
        <w:rPr>
          <w:b/>
        </w:rPr>
        <w:t>D</w:t>
      </w:r>
      <w:r w:rsidR="00F054F3" w:rsidRPr="004E6249">
        <w:rPr>
          <w:b/>
        </w:rPr>
        <w:t>emand/ awareness</w:t>
      </w:r>
      <w:r w:rsidR="00F054F3">
        <w:rPr>
          <w:b/>
        </w:rPr>
        <w:t xml:space="preserve"> raising activities</w:t>
      </w:r>
      <w:r w:rsidR="00F054F3" w:rsidRPr="00B1144E">
        <w:t xml:space="preserve"> </w:t>
      </w:r>
      <w:r w:rsidR="00F054F3">
        <w:t>through HCWs and worked alongside CSOs in the district</w:t>
      </w:r>
      <w:r w:rsidR="00E64A32">
        <w:t>s</w:t>
      </w:r>
      <w:r w:rsidR="00983C9E">
        <w:t xml:space="preserve">, </w:t>
      </w:r>
      <w:r w:rsidR="00E64A32">
        <w:t xml:space="preserve">with feedback indicating that the direct collaboration and </w:t>
      </w:r>
      <w:r w:rsidR="00251DEA">
        <w:t>data sharing from the project was beneficial</w:t>
      </w:r>
      <w:r w:rsidR="00F054F3">
        <w:t>. The CAG</w:t>
      </w:r>
      <w:r w:rsidR="00EA5AB6">
        <w:t>s</w:t>
      </w:r>
      <w:r w:rsidR="00F054F3">
        <w:t xml:space="preserve"> model w</w:t>
      </w:r>
      <w:r w:rsidR="002D585C">
        <w:t>as</w:t>
      </w:r>
      <w:r w:rsidR="00F054F3">
        <w:t xml:space="preserve"> used as a flagging system for when patients needed VL testing. </w:t>
      </w:r>
    </w:p>
    <w:p w14:paraId="238E76E7" w14:textId="0E68A887" w:rsidR="00F054F3" w:rsidRDefault="00F054F3" w:rsidP="00F054F3">
      <w:pPr>
        <w:pStyle w:val="CEPABullets"/>
      </w:pPr>
      <w:r w:rsidRPr="00E058D0">
        <w:rPr>
          <w:b/>
        </w:rPr>
        <w:t>General scale up support</w:t>
      </w:r>
      <w:r>
        <w:t xml:space="preserve"> was provided in Mpilo District Hospital, Mutare and Bulawayo. This included plasma testing/ Roche VL testing</w:t>
      </w:r>
      <w:r w:rsidRPr="00A93C49">
        <w:t xml:space="preserve"> through support </w:t>
      </w:r>
      <w:r>
        <w:t xml:space="preserve">such as provision of </w:t>
      </w:r>
      <w:r w:rsidRPr="00A93C49">
        <w:t>reagents</w:t>
      </w:r>
      <w:r>
        <w:t xml:space="preserve"> </w:t>
      </w:r>
      <w:r w:rsidRPr="00A93C49">
        <w:t>(very limited)</w:t>
      </w:r>
      <w:r>
        <w:t xml:space="preserve">, materials, stationary, maintenance; </w:t>
      </w:r>
      <w:r w:rsidRPr="00A93C49">
        <w:t xml:space="preserve">training and mentoring. </w:t>
      </w:r>
      <w:r>
        <w:t>S</w:t>
      </w:r>
      <w:r w:rsidRPr="00E058D0">
        <w:t xml:space="preserve">upport was </w:t>
      </w:r>
      <w:r>
        <w:t xml:space="preserve">also </w:t>
      </w:r>
      <w:r w:rsidRPr="00E058D0">
        <w:t xml:space="preserve">provided to completed rehabilitation works to </w:t>
      </w:r>
      <w:r w:rsidR="00DF029F">
        <w:t>three</w:t>
      </w:r>
      <w:r w:rsidRPr="00E058D0">
        <w:t xml:space="preserve"> laboratories (BRIDH, Chinoyi and Mutare)</w:t>
      </w:r>
      <w:r>
        <w:t>.</w:t>
      </w:r>
    </w:p>
    <w:p w14:paraId="2B744F04" w14:textId="2BE779A5" w:rsidR="00F054F3" w:rsidRDefault="00F65794" w:rsidP="00F054F3">
      <w:pPr>
        <w:pStyle w:val="CEPAReportText"/>
      </w:pPr>
      <w:r>
        <w:t xml:space="preserve">The </w:t>
      </w:r>
      <w:r>
        <w:rPr>
          <w:b/>
        </w:rPr>
        <w:t xml:space="preserve">additionality of the project </w:t>
      </w:r>
      <w:r>
        <w:t>is reflected in the fact that p</w:t>
      </w:r>
      <w:r w:rsidR="00F054F3">
        <w:t xml:space="preserve">rior to MSF introducing VL testing, testing was only conducted in </w:t>
      </w:r>
      <w:r w:rsidR="002D585C">
        <w:t xml:space="preserve">expensive </w:t>
      </w:r>
      <w:r w:rsidR="00F054F3">
        <w:t>private facilities. MSF therefore led the way in terms of introducing routine VL testing</w:t>
      </w:r>
      <w:r>
        <w:t xml:space="preserve"> and were viewed as pioneers.</w:t>
      </w:r>
      <w:r w:rsidR="00F054F3">
        <w:t xml:space="preserve"> MSF remained the only partner with a platform in country until mid</w:t>
      </w:r>
      <w:r w:rsidR="008E278A">
        <w:t>-</w:t>
      </w:r>
      <w:r w:rsidR="00F054F3">
        <w:t xml:space="preserve">2016, and as such undertook a “hugely ambitious project” </w:t>
      </w:r>
      <w:r w:rsidR="00B210A3">
        <w:t xml:space="preserve">(as stated by several stakeholders) </w:t>
      </w:r>
      <w:r w:rsidR="00F054F3">
        <w:t xml:space="preserve">in an extremely challenging setting. </w:t>
      </w:r>
    </w:p>
    <w:p w14:paraId="5878E209" w14:textId="77777777" w:rsidR="00F054F3" w:rsidRDefault="00F054F3" w:rsidP="00F054F3">
      <w:pPr>
        <w:pStyle w:val="CEPAReportText"/>
      </w:pPr>
      <w:r>
        <w:t xml:space="preserve">There were a </w:t>
      </w:r>
      <w:r w:rsidRPr="0059666E">
        <w:rPr>
          <w:b/>
        </w:rPr>
        <w:t>number of successes</w:t>
      </w:r>
      <w:r>
        <w:t xml:space="preserve"> achieved in this project and aspects that worked well. These included:</w:t>
      </w:r>
    </w:p>
    <w:p w14:paraId="3782318C" w14:textId="4D391F33" w:rsidR="009B2E1A" w:rsidRDefault="00F054F3" w:rsidP="009B2E1A">
      <w:pPr>
        <w:pStyle w:val="CEPABullets"/>
        <w:numPr>
          <w:ilvl w:val="0"/>
          <w:numId w:val="1"/>
        </w:numPr>
      </w:pPr>
      <w:r w:rsidRPr="00DD4727">
        <w:rPr>
          <w:b/>
        </w:rPr>
        <w:t>Relevance for policy</w:t>
      </w:r>
      <w:r>
        <w:rPr>
          <w:b/>
        </w:rPr>
        <w:t xml:space="preserve">: </w:t>
      </w:r>
      <w:r w:rsidR="00F65794">
        <w:t>Re</w:t>
      </w:r>
      <w:r>
        <w:t>spondents unanimously attributed much of the VL scale up plan</w:t>
      </w:r>
      <w:r w:rsidR="00DF029F">
        <w:t xml:space="preserve"> (2015-2018)</w:t>
      </w:r>
      <w:r>
        <w:t xml:space="preserve"> to the work of MSF. In addition, their work supported</w:t>
      </w:r>
      <w:r>
        <w:rPr>
          <w:b/>
        </w:rPr>
        <w:t xml:space="preserve"> </w:t>
      </w:r>
      <w:r w:rsidRPr="00DD4727">
        <w:t xml:space="preserve">guideline </w:t>
      </w:r>
      <w:r>
        <w:t xml:space="preserve">and </w:t>
      </w:r>
      <w:r w:rsidRPr="00DD4727">
        <w:t xml:space="preserve">algorithm development, </w:t>
      </w:r>
      <w:r>
        <w:t>and</w:t>
      </w:r>
      <w:r w:rsidRPr="00DD4727">
        <w:t xml:space="preserve"> </w:t>
      </w:r>
      <w:r>
        <w:t xml:space="preserve">buy </w:t>
      </w:r>
      <w:r w:rsidRPr="00DD4727">
        <w:t xml:space="preserve">in from </w:t>
      </w:r>
      <w:r w:rsidR="00B61C4F">
        <w:t>MOH</w:t>
      </w:r>
      <w:r w:rsidRPr="00DD4727">
        <w:t xml:space="preserve"> and donors</w:t>
      </w:r>
      <w:r>
        <w:t>.</w:t>
      </w:r>
      <w:r w:rsidR="009E0503">
        <w:t xml:space="preserve"> </w:t>
      </w:r>
    </w:p>
    <w:p w14:paraId="5D83A8DF" w14:textId="0BF16CD7" w:rsidR="00F054F3" w:rsidRDefault="00F054F3" w:rsidP="008E278A">
      <w:pPr>
        <w:pStyle w:val="CEPABullets"/>
      </w:pPr>
      <w:r w:rsidRPr="00AF137E">
        <w:rPr>
          <w:b/>
        </w:rPr>
        <w:t xml:space="preserve">Introducing a </w:t>
      </w:r>
      <w:r>
        <w:rPr>
          <w:b/>
        </w:rPr>
        <w:t>“</w:t>
      </w:r>
      <w:r w:rsidRPr="00AF137E">
        <w:rPr>
          <w:b/>
        </w:rPr>
        <w:t>new system</w:t>
      </w:r>
      <w:r>
        <w:rPr>
          <w:b/>
        </w:rPr>
        <w:t>”</w:t>
      </w:r>
      <w:r w:rsidR="00F65794">
        <w:t>: A</w:t>
      </w:r>
      <w:r>
        <w:t xml:space="preserve">s MSF were the pioneers, a high number of supply chain, demand/ awareness activities, health system strengthening aspects were introduced, importantly including DBS testing. Many of these form the basis of what is now being scaled up in country, supported by </w:t>
      </w:r>
      <w:r w:rsidR="00F65794">
        <w:t>partners and the g</w:t>
      </w:r>
      <w:r>
        <w:t xml:space="preserve">overnment. </w:t>
      </w:r>
    </w:p>
    <w:p w14:paraId="1EF24C07" w14:textId="3BCC4D81" w:rsidR="00F054F3" w:rsidRDefault="00F054F3" w:rsidP="008E278A">
      <w:pPr>
        <w:pStyle w:val="CEPABullets"/>
      </w:pPr>
      <w:r w:rsidRPr="00DD4727">
        <w:rPr>
          <w:b/>
        </w:rPr>
        <w:t xml:space="preserve">Integration with </w:t>
      </w:r>
      <w:r w:rsidR="00B61C4F">
        <w:rPr>
          <w:b/>
        </w:rPr>
        <w:t>MOH</w:t>
      </w:r>
      <w:r>
        <w:rPr>
          <w:b/>
        </w:rPr>
        <w:t xml:space="preserve">: </w:t>
      </w:r>
      <w:r>
        <w:t>MSF work w</w:t>
      </w:r>
      <w:r w:rsidR="002D585C">
        <w:t>as</w:t>
      </w:r>
      <w:r>
        <w:t xml:space="preserve"> well integrated with the district and national level </w:t>
      </w:r>
      <w:r w:rsidR="00B61C4F">
        <w:t>MOH</w:t>
      </w:r>
      <w:r>
        <w:t xml:space="preserve">. This included (i) conducting tests for MSF supported sites as well as </w:t>
      </w:r>
      <w:r w:rsidR="00B61C4F">
        <w:t>MOH</w:t>
      </w:r>
      <w:r>
        <w:t xml:space="preserve"> sites; (ii) placement of platforms within </w:t>
      </w:r>
      <w:r w:rsidR="00B61C4F">
        <w:t>MOH</w:t>
      </w:r>
      <w:r>
        <w:t xml:space="preserve">. As one respondent said, </w:t>
      </w:r>
      <w:r w:rsidRPr="00347C70">
        <w:t>“MSF could have put the BM</w:t>
      </w:r>
      <w:r>
        <w:t xml:space="preserve"> </w:t>
      </w:r>
      <w:r w:rsidRPr="00347C70">
        <w:t xml:space="preserve">machine in their district but they didn’t, they put it centrally and also let </w:t>
      </w:r>
      <w:r w:rsidR="00B61C4F">
        <w:t>MOH</w:t>
      </w:r>
      <w:r w:rsidRPr="00347C70">
        <w:t xml:space="preserve"> use their platforms”</w:t>
      </w:r>
      <w:r>
        <w:t>; (iii) training and capacity building (noted further below); (iv) p</w:t>
      </w:r>
      <w:r w:rsidRPr="0080686B">
        <w:t xml:space="preserve">rovided database for VL information system which helped the NMRL. </w:t>
      </w:r>
      <w:r>
        <w:t xml:space="preserve">National and district level </w:t>
      </w:r>
      <w:r w:rsidR="00B61C4F">
        <w:t>MOH</w:t>
      </w:r>
      <w:r>
        <w:t xml:space="preserve"> respondents were highly appreciative of MSF work. </w:t>
      </w:r>
      <w:r w:rsidR="007D4ECF">
        <w:t xml:space="preserve">This is a particularly strong aspect that worked well with this project. </w:t>
      </w:r>
    </w:p>
    <w:p w14:paraId="505B7A4A" w14:textId="27C62D8C" w:rsidR="00F054F3" w:rsidRDefault="00F054F3" w:rsidP="008E278A">
      <w:pPr>
        <w:pStyle w:val="CEPABullets"/>
      </w:pPr>
      <w:r w:rsidRPr="00293A95">
        <w:rPr>
          <w:b/>
        </w:rPr>
        <w:t>Training and capacity building</w:t>
      </w:r>
      <w:r>
        <w:t>: This worked particularly well through (i) m</w:t>
      </w:r>
      <w:r w:rsidRPr="00293A95">
        <w:t>entoring model</w:t>
      </w:r>
      <w:r>
        <w:t>; (ii) training of trainers model (centralised and decentralised levels). Respondents in a decentralise</w:t>
      </w:r>
      <w:r w:rsidR="00DF029F">
        <w:t>d</w:t>
      </w:r>
      <w:r>
        <w:t xml:space="preserve"> location reported being capacitated in conducting </w:t>
      </w:r>
      <w:r w:rsidRPr="00332897">
        <w:t>testing, training</w:t>
      </w:r>
      <w:r>
        <w:t xml:space="preserve"> and</w:t>
      </w:r>
      <w:r w:rsidRPr="00332897">
        <w:t xml:space="preserve"> adherence counselling</w:t>
      </w:r>
      <w:r>
        <w:t xml:space="preserve"> with comments such as </w:t>
      </w:r>
      <w:r w:rsidRPr="00332897">
        <w:t>“</w:t>
      </w:r>
      <w:r>
        <w:t>we are w</w:t>
      </w:r>
      <w:r w:rsidRPr="00332897">
        <w:t>ell versed in VL testing because of MSF”</w:t>
      </w:r>
      <w:r>
        <w:t xml:space="preserve">. Training resulted in capacity building for staff at NMRL too, and it was noted, “when </w:t>
      </w:r>
      <w:r w:rsidR="00B61C4F">
        <w:t>MOH</w:t>
      </w:r>
      <w:r>
        <w:t xml:space="preserve"> handed over their machines, the lab staff had been capacitated so they could take it on”.</w:t>
      </w:r>
      <w:r>
        <w:tab/>
      </w:r>
    </w:p>
    <w:p w14:paraId="606F493D" w14:textId="1879E0AD" w:rsidR="00F054F3" w:rsidRDefault="00F054F3" w:rsidP="008E278A">
      <w:pPr>
        <w:pStyle w:val="CEPABullets"/>
      </w:pPr>
      <w:r>
        <w:rPr>
          <w:b/>
        </w:rPr>
        <w:t>Introduction of d</w:t>
      </w:r>
      <w:r w:rsidRPr="00DD4727">
        <w:rPr>
          <w:b/>
        </w:rPr>
        <w:t>iversity of platforms</w:t>
      </w:r>
      <w:r>
        <w:t xml:space="preserve"> which created market competition. This is considered to be one of the successes of the programme in Zimbabwe, due in part because of the high training that </w:t>
      </w:r>
      <w:r w:rsidR="00B61C4F">
        <w:t>MOH</w:t>
      </w:r>
      <w:r>
        <w:t xml:space="preserve"> staff received, as well as the support provided to introduce multiple platforms such as </w:t>
      </w:r>
      <w:r w:rsidR="007B10C8">
        <w:t>BM</w:t>
      </w:r>
      <w:r>
        <w:t>, Abbott,</w:t>
      </w:r>
      <w:r w:rsidRPr="003A04AD">
        <w:t xml:space="preserve"> Roche for VL; PIMA vs BD FACSPresto for POC CD4</w:t>
      </w:r>
      <w:r>
        <w:t xml:space="preserve">, and GeneXpert for EID (and VL). </w:t>
      </w:r>
      <w:r w:rsidRPr="00867492">
        <w:t xml:space="preserve">Maintenance delays </w:t>
      </w:r>
      <w:r>
        <w:t xml:space="preserve">experienced </w:t>
      </w:r>
      <w:r w:rsidRPr="00867492">
        <w:t>with BM</w:t>
      </w:r>
      <w:r>
        <w:t xml:space="preserve"> also</w:t>
      </w:r>
      <w:r w:rsidRPr="00867492">
        <w:t xml:space="preserve"> helped to inform </w:t>
      </w:r>
      <w:r>
        <w:t xml:space="preserve">the </w:t>
      </w:r>
      <w:r w:rsidRPr="00867492">
        <w:t>country to consider models that mitigate this such as rental agreements</w:t>
      </w:r>
      <w:r w:rsidR="002D585C">
        <w:t>,</w:t>
      </w:r>
      <w:r w:rsidRPr="00867492">
        <w:t xml:space="preserve"> as well as decision to adopt more than one </w:t>
      </w:r>
      <w:r>
        <w:t>platform.</w:t>
      </w:r>
    </w:p>
    <w:p w14:paraId="285999A1" w14:textId="62BDB33D" w:rsidR="00F054F3" w:rsidRDefault="00F054F3" w:rsidP="008E278A">
      <w:pPr>
        <w:pStyle w:val="CEPABullets"/>
      </w:pPr>
      <w:r>
        <w:t xml:space="preserve">A key respondent noted that this project </w:t>
      </w:r>
      <w:r w:rsidRPr="000F6EF4">
        <w:t xml:space="preserve">“had a huge </w:t>
      </w:r>
      <w:r w:rsidRPr="00117E77">
        <w:rPr>
          <w:b/>
        </w:rPr>
        <w:t>public health impact</w:t>
      </w:r>
      <w:r w:rsidRPr="000F6EF4">
        <w:t>”</w:t>
      </w:r>
      <w:r>
        <w:t>.</w:t>
      </w:r>
      <w:r w:rsidRPr="0038182F">
        <w:t xml:space="preserve"> </w:t>
      </w:r>
      <w:r>
        <w:t>I</w:t>
      </w:r>
      <w:r w:rsidRPr="0038182F">
        <w:t xml:space="preserve">n 2016, 42% of VL testing in Zimbabwe was performed by MSF. In terms of national VL testing coverage of PLHIV on ART, Zimbabwe achieved 14% </w:t>
      </w:r>
      <w:r>
        <w:t xml:space="preserve">VL coverage </w:t>
      </w:r>
      <w:r w:rsidRPr="0038182F">
        <w:t>in 2016, up from 5% at the end of 2015 and respondents reported the most recent coverage to be 23%.</w:t>
      </w:r>
      <w:r>
        <w:t xml:space="preserve"> Of particular benefit to the </w:t>
      </w:r>
      <w:r w:rsidR="00B61C4F">
        <w:t>MOH</w:t>
      </w:r>
      <w:r>
        <w:t xml:space="preserve"> was the assessment of viral suppression, and that the </w:t>
      </w:r>
      <w:r w:rsidRPr="00117E77">
        <w:t xml:space="preserve">project showed </w:t>
      </w:r>
      <w:r>
        <w:t xml:space="preserve">a </w:t>
      </w:r>
      <w:r w:rsidRPr="00117E77">
        <w:t xml:space="preserve">need to invest in adherence counselling and capacitate counsellors. </w:t>
      </w:r>
      <w:r w:rsidR="00BD1C13">
        <w:t>MOH</w:t>
      </w:r>
      <w:r>
        <w:t xml:space="preserve"> reported that studies showed that </w:t>
      </w:r>
      <w:r w:rsidRPr="00117E77">
        <w:t>22-40% were suppressing</w:t>
      </w:r>
      <w:r>
        <w:t xml:space="preserve"> with </w:t>
      </w:r>
      <w:r w:rsidR="00C15630">
        <w:t>Early Adherence Counselling (</w:t>
      </w:r>
      <w:r>
        <w:t>EAC</w:t>
      </w:r>
      <w:r w:rsidR="00C15630">
        <w:t>)</w:t>
      </w:r>
      <w:r>
        <w:t xml:space="preserve">, thus also providing an efficiency in terms of savings from not needing to switch patients to </w:t>
      </w:r>
      <w:r w:rsidR="00093AAF">
        <w:t>second-line treatment</w:t>
      </w:r>
      <w:r w:rsidRPr="00117E77">
        <w:t>.</w:t>
      </w:r>
      <w:r>
        <w:t xml:space="preserve"> However, other consultations noted that there were still delays in switching patients to </w:t>
      </w:r>
      <w:r w:rsidR="00093AAF">
        <w:t>second-line treatment</w:t>
      </w:r>
      <w:r>
        <w:t xml:space="preserve"> which reduced the public health impact of the project. </w:t>
      </w:r>
    </w:p>
    <w:p w14:paraId="3E3542DD" w14:textId="22920514" w:rsidR="009B2E1A" w:rsidRPr="00DD4727" w:rsidRDefault="009B2E1A" w:rsidP="009B2E1A">
      <w:pPr>
        <w:pStyle w:val="CEPAReportText"/>
        <w:rPr>
          <w:b/>
        </w:rPr>
      </w:pPr>
      <w:r>
        <w:t xml:space="preserve">Box 3.3 elaborates on partner coordination and </w:t>
      </w:r>
      <w:r w:rsidR="00B61C4F">
        <w:t>MOH</w:t>
      </w:r>
      <w:r>
        <w:t xml:space="preserve"> integration by MSF in Zimbabwe. </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2F2F2" w:themeFill="background1" w:themeFillShade="F2"/>
        <w:tblLook w:val="04A0" w:firstRow="1" w:lastRow="0" w:firstColumn="1" w:lastColumn="0" w:noHBand="0" w:noVBand="1"/>
      </w:tblPr>
      <w:tblGrid>
        <w:gridCol w:w="9016"/>
      </w:tblGrid>
      <w:tr w:rsidR="009B2E1A" w:rsidRPr="006935C6" w14:paraId="2D42C484" w14:textId="77777777" w:rsidTr="00B14E33">
        <w:trPr>
          <w:tblHeader/>
        </w:trPr>
        <w:tc>
          <w:tcPr>
            <w:tcW w:w="5000" w:type="pct"/>
            <w:shd w:val="clear" w:color="auto" w:fill="F2F2F2" w:themeFill="background1" w:themeFillShade="F2"/>
          </w:tcPr>
          <w:p w14:paraId="1C52F067" w14:textId="56D9828B" w:rsidR="009B2E1A" w:rsidRDefault="009B2E1A" w:rsidP="00B14E33">
            <w:pPr>
              <w:pStyle w:val="CEPATabletext"/>
              <w:rPr>
                <w:b/>
              </w:rPr>
            </w:pPr>
            <w:r>
              <w:rPr>
                <w:b/>
              </w:rPr>
              <w:t xml:space="preserve">Box 3.3: Partner coordination and </w:t>
            </w:r>
            <w:r w:rsidR="00B61C4F">
              <w:rPr>
                <w:b/>
              </w:rPr>
              <w:t>MOH</w:t>
            </w:r>
            <w:r>
              <w:rPr>
                <w:b/>
              </w:rPr>
              <w:t xml:space="preserve"> integration in</w:t>
            </w:r>
            <w:r w:rsidRPr="00C84D42">
              <w:rPr>
                <w:b/>
              </w:rPr>
              <w:t xml:space="preserve"> Zimbabwe</w:t>
            </w:r>
          </w:p>
          <w:p w14:paraId="34B17156" w14:textId="7171E3C3" w:rsidR="009B2E1A" w:rsidRDefault="009B2E1A" w:rsidP="00B14E33">
            <w:pPr>
              <w:pStyle w:val="CEPATabletext"/>
            </w:pPr>
            <w:r>
              <w:t xml:space="preserve">Within </w:t>
            </w:r>
            <w:r w:rsidRPr="009E0503">
              <w:t>Zimbabwe</w:t>
            </w:r>
            <w:r>
              <w:t xml:space="preserve">, MSF coordinated well with partners as well as the </w:t>
            </w:r>
            <w:r w:rsidR="00B61C4F">
              <w:t>MOH</w:t>
            </w:r>
            <w:r>
              <w:t xml:space="preserve">, particularly through their involvement in a number of TWGs </w:t>
            </w:r>
            <w:r w:rsidR="002D585C">
              <w:t xml:space="preserve">with </w:t>
            </w:r>
            <w:r>
              <w:t xml:space="preserve">which evidence from the project was shared. Respondents noted that “information sharing was a strength of MSF” that they were well aware of MSF’s work. </w:t>
            </w:r>
          </w:p>
          <w:p w14:paraId="356E6DFA" w14:textId="393BA4CE" w:rsidR="009B2E1A" w:rsidRDefault="009B2E1A" w:rsidP="00B14E33">
            <w:pPr>
              <w:pStyle w:val="CEPATabletext"/>
            </w:pPr>
            <w:r>
              <w:t xml:space="preserve">In addition, a smaller </w:t>
            </w:r>
            <w:r w:rsidR="00B55E9C">
              <w:t>Unitaid</w:t>
            </w:r>
            <w:r>
              <w:t xml:space="preserve"> grantee partner TWG was established between EGPAF, CHAI/UNICEF and MSF. This group had separate monthly meetings with one of the aims being to avoid duplication and facilitate partners to work to their respective strengths. For example, decisions as to which </w:t>
            </w:r>
            <w:r w:rsidRPr="00A53E43">
              <w:t xml:space="preserve">organisation </w:t>
            </w:r>
            <w:r>
              <w:t>would take someth</w:t>
            </w:r>
            <w:r w:rsidRPr="00A53E43">
              <w:t xml:space="preserve">ing forward depended on which one was working in </w:t>
            </w:r>
            <w:r>
              <w:t>a specific setting</w:t>
            </w:r>
            <w:r w:rsidRPr="00A53E43">
              <w:t xml:space="preserve">, or </w:t>
            </w:r>
            <w:r>
              <w:t xml:space="preserve">perhaps had </w:t>
            </w:r>
            <w:r w:rsidRPr="00A53E43">
              <w:t xml:space="preserve">already engaged with the </w:t>
            </w:r>
            <w:r w:rsidR="00B61C4F">
              <w:t>MOH</w:t>
            </w:r>
            <w:r w:rsidRPr="00A53E43">
              <w:t xml:space="preserve"> on </w:t>
            </w:r>
            <w:r>
              <w:t>a particular issue</w:t>
            </w:r>
            <w:r w:rsidRPr="00A53E43">
              <w:t xml:space="preserve">, or </w:t>
            </w:r>
            <w:r>
              <w:t>had the most appropriate</w:t>
            </w:r>
            <w:r w:rsidRPr="00A53E43">
              <w:t xml:space="preserve"> technical capacity</w:t>
            </w:r>
            <w:r>
              <w:t xml:space="preserve">. In particular, MSF led on the clinical side, and helped to lay the foundation for scale up and the work of the MSF project laid the foundations in other ways such as the GeneXpert study enabled CHAI not to have to do their own evaluation on the GeneXpert. </w:t>
            </w:r>
          </w:p>
          <w:p w14:paraId="3DAE35C7" w14:textId="402E3B24" w:rsidR="009B2E1A" w:rsidRDefault="009B2E1A" w:rsidP="00B14E33">
            <w:pPr>
              <w:pStyle w:val="CEPATabletext"/>
            </w:pPr>
            <w:r>
              <w:t xml:space="preserve">In addition, </w:t>
            </w:r>
            <w:r w:rsidRPr="007F518F">
              <w:t>CHAI, UNICEF</w:t>
            </w:r>
            <w:r>
              <w:t xml:space="preserve"> and MSF</w:t>
            </w:r>
            <w:r w:rsidRPr="007F518F">
              <w:t xml:space="preserve"> worked together to</w:t>
            </w:r>
            <w:r>
              <w:t xml:space="preserve"> assist the </w:t>
            </w:r>
            <w:r w:rsidR="00B61C4F">
              <w:t>MOH</w:t>
            </w:r>
            <w:r>
              <w:t xml:space="preserve"> to</w:t>
            </w:r>
            <w:r w:rsidRPr="007F518F">
              <w:t xml:space="preserve"> develop </w:t>
            </w:r>
            <w:r>
              <w:t xml:space="preserve">VL </w:t>
            </w:r>
            <w:r w:rsidRPr="007F518F">
              <w:t>scale</w:t>
            </w:r>
            <w:r>
              <w:t>-</w:t>
            </w:r>
            <w:r w:rsidRPr="007F518F">
              <w:t>up plan.</w:t>
            </w:r>
            <w:r>
              <w:t xml:space="preserve"> </w:t>
            </w:r>
          </w:p>
          <w:p w14:paraId="66B7EF5D" w14:textId="77777777" w:rsidR="009B2E1A" w:rsidRDefault="009B2E1A" w:rsidP="00B14E33">
            <w:pPr>
              <w:pStyle w:val="CEPATabletext"/>
            </w:pPr>
            <w:r>
              <w:t xml:space="preserve">It was noted however, that this synergy was more because of personal relationships, and could have been better structured/ coordinated. </w:t>
            </w:r>
          </w:p>
          <w:p w14:paraId="34DD6A46" w14:textId="3966B5F3" w:rsidR="009B2E1A" w:rsidRPr="006E52A9" w:rsidRDefault="009B2E1A" w:rsidP="00B14E33">
            <w:pPr>
              <w:pStyle w:val="CEPATabletext"/>
            </w:pPr>
            <w:r>
              <w:t>In addition, stakeholders noted a missed opportunity to be the lack of pooled procurement between these grants.</w:t>
            </w:r>
          </w:p>
        </w:tc>
      </w:tr>
    </w:tbl>
    <w:p w14:paraId="2DDDADFF" w14:textId="77777777" w:rsidR="008E278A" w:rsidRDefault="008E278A" w:rsidP="008E278A">
      <w:pPr>
        <w:pStyle w:val="CEPAReportText"/>
      </w:pPr>
      <w:r>
        <w:t xml:space="preserve">At the same time, there were some </w:t>
      </w:r>
      <w:r w:rsidRPr="0059666E">
        <w:rPr>
          <w:b/>
        </w:rPr>
        <w:t>challenges</w:t>
      </w:r>
      <w:r>
        <w:t xml:space="preserve"> as well: </w:t>
      </w:r>
    </w:p>
    <w:p w14:paraId="6DE452DA" w14:textId="79247BE1" w:rsidR="00F054F3" w:rsidRDefault="00F054F3" w:rsidP="008E278A">
      <w:pPr>
        <w:pStyle w:val="CEPABullets"/>
      </w:pPr>
      <w:r>
        <w:t xml:space="preserve">Ongoing </w:t>
      </w:r>
      <w:r w:rsidRPr="00C23B19">
        <w:rPr>
          <w:b/>
        </w:rPr>
        <w:t xml:space="preserve">transport </w:t>
      </w:r>
      <w:r>
        <w:rPr>
          <w:b/>
        </w:rPr>
        <w:t>challenges</w:t>
      </w:r>
      <w:r>
        <w:t xml:space="preserve"> were experienced throughout the project such as fuel, break downs, maintenance, and coordination of transport among partners. However this was not specific to MSF, and transport is an ongoing challenge that other partners are still experiencing.</w:t>
      </w:r>
    </w:p>
    <w:p w14:paraId="6B4B67D5" w14:textId="77777777" w:rsidR="00F054F3" w:rsidRDefault="00F054F3" w:rsidP="008E278A">
      <w:pPr>
        <w:pStyle w:val="CEPABullets"/>
      </w:pPr>
      <w:r w:rsidRPr="00F47AAD">
        <w:rPr>
          <w:b/>
        </w:rPr>
        <w:t>Ongoing long TAT</w:t>
      </w:r>
      <w:r>
        <w:t>. TAT remained high due to a number of factors such as transport, samples being sent without reagents, a high backlog of tests (from demand being stimulated before having the capacity to meet the demand) etc</w:t>
      </w:r>
      <w:r w:rsidR="008E278A">
        <w:t>.;</w:t>
      </w:r>
      <w:r>
        <w:t xml:space="preserve"> maintenance delays etc.  </w:t>
      </w:r>
    </w:p>
    <w:p w14:paraId="46DB5349" w14:textId="63CB654D" w:rsidR="00F054F3" w:rsidRDefault="00F054F3" w:rsidP="008E278A">
      <w:pPr>
        <w:pStyle w:val="CEPABullets"/>
      </w:pPr>
      <w:r w:rsidRPr="00051CA6">
        <w:rPr>
          <w:b/>
        </w:rPr>
        <w:t>Delays</w:t>
      </w:r>
      <w:r>
        <w:t xml:space="preserve"> were experienced regarding the </w:t>
      </w:r>
      <w:r w:rsidRPr="00051CA6">
        <w:t>national scale up</w:t>
      </w:r>
      <w:r>
        <w:t xml:space="preserve"> due to</w:t>
      </w:r>
      <w:r w:rsidRPr="00051CA6">
        <w:t>: (i) technology development, particularly regarding platforms able to do VL on DBS and/or VL POC technology; (ii) implementation of the plan in terms of building laboratory capacity; (iii) writing and finalising the national VL roll out plan; (iv) selection of the platforms and agreements with the companies by MOHCC/ UNDP.</w:t>
      </w:r>
      <w:r>
        <w:t xml:space="preserve"> There was also a delay within the project with regards to UNDP procurement for the second BM platform in which it took two years for this information to be communicated to the government. This resulted in MSF providing the only one</w:t>
      </w:r>
      <w:r w:rsidR="00D139C3">
        <w:t xml:space="preserve"> laboratory-based</w:t>
      </w:r>
      <w:r>
        <w:t xml:space="preserve"> platform in country until</w:t>
      </w:r>
      <w:r w:rsidR="00F20606">
        <w:t xml:space="preserve"> late 2015, and being the only p</w:t>
      </w:r>
      <w:r>
        <w:t>artners supporting any platforms in country until approximately mid</w:t>
      </w:r>
      <w:r w:rsidR="005E42D5">
        <w:t>-</w:t>
      </w:r>
      <w:r>
        <w:t>2016</w:t>
      </w:r>
      <w:r w:rsidR="00D139C3">
        <w:t xml:space="preserve"> when CDC and PEPFAR supported platforms</w:t>
      </w:r>
      <w:r>
        <w:t>.</w:t>
      </w:r>
    </w:p>
    <w:p w14:paraId="6716E990" w14:textId="1B8C6035" w:rsidR="00F054F3" w:rsidRDefault="00F054F3" w:rsidP="008E278A">
      <w:pPr>
        <w:pStyle w:val="CEPABullets"/>
      </w:pPr>
      <w:r>
        <w:t xml:space="preserve">Whilst many positives regarding sustainability were noted during consultations, a few respondents noted that the transition period was too short and </w:t>
      </w:r>
      <w:r w:rsidRPr="008503F7">
        <w:rPr>
          <w:b/>
        </w:rPr>
        <w:t>transition was</w:t>
      </w:r>
      <w:r>
        <w:rPr>
          <w:b/>
        </w:rPr>
        <w:t xml:space="preserve"> too</w:t>
      </w:r>
      <w:r w:rsidRPr="008503F7">
        <w:rPr>
          <w:b/>
        </w:rPr>
        <w:t xml:space="preserve"> abrupt</w:t>
      </w:r>
      <w:r>
        <w:t xml:space="preserve">. This may have been in part due to delays in </w:t>
      </w:r>
      <w:r w:rsidR="003C6684">
        <w:t>hand-over</w:t>
      </w:r>
      <w:r>
        <w:t xml:space="preserve"> to UNDP, and their procurement system which caused delays. However, respondents noted that the transition could have been communicated earlier, in particular because of the significance of the grant before </w:t>
      </w:r>
      <w:r w:rsidR="003C6684">
        <w:t>hand-over</w:t>
      </w:r>
      <w:r>
        <w:t xml:space="preserve">. </w:t>
      </w:r>
    </w:p>
    <w:p w14:paraId="336A1696" w14:textId="3C571990" w:rsidR="008E278A" w:rsidRDefault="008E278A" w:rsidP="008E278A">
      <w:pPr>
        <w:pStyle w:val="Heading3"/>
        <w:numPr>
          <w:ilvl w:val="2"/>
          <w:numId w:val="2"/>
        </w:numPr>
      </w:pPr>
      <w:r>
        <w:t xml:space="preserve">Summary </w:t>
      </w:r>
      <w:r w:rsidR="00564565">
        <w:t xml:space="preserve">findings across countries </w:t>
      </w:r>
    </w:p>
    <w:p w14:paraId="3A85DC09" w14:textId="4BC5E056" w:rsidR="00564565" w:rsidRPr="00564565" w:rsidRDefault="00564565" w:rsidP="00564565">
      <w:pPr>
        <w:pStyle w:val="CEPAReportText"/>
      </w:pPr>
      <w:r>
        <w:t xml:space="preserve">As a conclusion to this section, we summarise the main findings and lessons learnt from the country case studies, alongside a broader consideration of the contribution </w:t>
      </w:r>
      <w:r w:rsidR="00CB1DC8">
        <w:t xml:space="preserve">of the MSF project </w:t>
      </w:r>
      <w:r>
        <w:t>across countries.</w:t>
      </w:r>
      <w:r w:rsidR="00CB1DC8">
        <w:t xml:space="preserve"> Finally, the section ends with a summary of the key remaining challenges with regards to VL monitoring across countries, as also noted in the </w:t>
      </w:r>
      <w:r w:rsidR="00CB1DC8">
        <w:rPr>
          <w:i/>
        </w:rPr>
        <w:t xml:space="preserve">Making Viral Load Routine </w:t>
      </w:r>
      <w:r w:rsidR="00CB1DC8">
        <w:t xml:space="preserve">publication. </w:t>
      </w:r>
    </w:p>
    <w:p w14:paraId="11C84841" w14:textId="582D9A6A" w:rsidR="00B758FE" w:rsidRDefault="00B758FE" w:rsidP="00B758FE">
      <w:pPr>
        <w:pStyle w:val="Heading4"/>
      </w:pPr>
      <w:r>
        <w:t>Summary of country case studies</w:t>
      </w:r>
      <w:r w:rsidR="00564565">
        <w:t>, lessons learnt</w:t>
      </w:r>
      <w:r>
        <w:t xml:space="preserve"> </w:t>
      </w:r>
      <w:r w:rsidR="00564565">
        <w:t xml:space="preserve">and project contributions  </w:t>
      </w:r>
    </w:p>
    <w:p w14:paraId="07F14AD8" w14:textId="7C9FFB6F" w:rsidR="008E278A" w:rsidRDefault="008E278A" w:rsidP="008E278A">
      <w:pPr>
        <w:pStyle w:val="CEPAReportText"/>
        <w:rPr>
          <w:lang w:val="en-US"/>
        </w:rPr>
      </w:pPr>
      <w:r>
        <w:t xml:space="preserve">As described above, the experiences have varied substantially by country and project site. The MSF programme in Zimbabwe has worked particularly well, with good linkages with the government and </w:t>
      </w:r>
      <w:r w:rsidR="003C6684">
        <w:t>hand-over</w:t>
      </w:r>
      <w:r>
        <w:t xml:space="preserve">, alongside support for scale-up. The project has also worked reasonably well in Malawi Thyolo, where the adaptability of the MSF programme paved the way for a greater degree of </w:t>
      </w:r>
      <w:r w:rsidR="003C6684">
        <w:t>hand-over</w:t>
      </w:r>
      <w:r>
        <w:t xml:space="preserve">/ government commitment, and the DBS demonstration work and linkages with the CAGs worked particularly well. Malawi Chiradzulu has seen lesser results at project close with the SAMBA not being taken over by the government due to high costs, but the demonstration of the </w:t>
      </w:r>
      <w:r>
        <w:rPr>
          <w:lang w:val="en-US"/>
        </w:rPr>
        <w:t>many positive benefits of POC testing has been useful, supporting the government’s decision to take forward targeted rather than routine manner at present.</w:t>
      </w:r>
      <w:r w:rsidR="009B2E1A">
        <w:rPr>
          <w:lang w:val="en-US"/>
        </w:rPr>
        <w:t xml:space="preserve"> </w:t>
      </w:r>
    </w:p>
    <w:p w14:paraId="6572A0D6" w14:textId="4E135EED" w:rsidR="009B2E1A" w:rsidRDefault="008E278A" w:rsidP="008E278A">
      <w:pPr>
        <w:pStyle w:val="CEPAReportText"/>
        <w:rPr>
          <w:lang w:val="en-US"/>
        </w:rPr>
      </w:pPr>
      <w:r>
        <w:rPr>
          <w:lang w:val="en-US"/>
        </w:rPr>
        <w:t xml:space="preserve">These varying country experiences have been due to </w:t>
      </w:r>
      <w:r w:rsidR="005C33B1">
        <w:rPr>
          <w:lang w:val="en-US"/>
        </w:rPr>
        <w:t xml:space="preserve">differing </w:t>
      </w:r>
      <w:r>
        <w:rPr>
          <w:lang w:val="en-US"/>
        </w:rPr>
        <w:t xml:space="preserve">country contexts and the suitability of the diagnostic technology and testing plan within these </w:t>
      </w:r>
      <w:r w:rsidR="005C33B1">
        <w:rPr>
          <w:lang w:val="en-US"/>
        </w:rPr>
        <w:t>settings</w:t>
      </w:r>
      <w:r>
        <w:rPr>
          <w:lang w:val="en-US"/>
        </w:rPr>
        <w:t xml:space="preserve">, and therefore lack of full </w:t>
      </w:r>
      <w:r w:rsidR="003C6684">
        <w:rPr>
          <w:lang w:val="en-US"/>
        </w:rPr>
        <w:t>hand-over</w:t>
      </w:r>
      <w:r>
        <w:rPr>
          <w:lang w:val="en-US"/>
        </w:rPr>
        <w:t xml:space="preserve"> at the end of the MSF project </w:t>
      </w:r>
      <w:r w:rsidR="009B2E1A">
        <w:rPr>
          <w:lang w:val="en-US"/>
        </w:rPr>
        <w:t>need not be viewed as an issue per se</w:t>
      </w:r>
      <w:r w:rsidR="00564565">
        <w:rPr>
          <w:lang w:val="en-US"/>
        </w:rPr>
        <w:t xml:space="preserve"> (as discussed further in Section 4.3 on sustainability and scalability)</w:t>
      </w:r>
      <w:r>
        <w:rPr>
          <w:lang w:val="en-US"/>
        </w:rPr>
        <w:t>. Indeed, the main benefit of the MSF project across all three countries has been its demonstration work that has shown that routine VL testing can be feasible and is much needed in countries.</w:t>
      </w:r>
      <w:r w:rsidR="00F20606">
        <w:rPr>
          <w:lang w:val="en-US"/>
        </w:rPr>
        <w:t xml:space="preserve"> </w:t>
      </w:r>
    </w:p>
    <w:p w14:paraId="7398D12F" w14:textId="117798D5" w:rsidR="008E278A" w:rsidRDefault="008E278A" w:rsidP="008E278A">
      <w:pPr>
        <w:pStyle w:val="CEPAReportText"/>
        <w:rPr>
          <w:lang w:val="en-US"/>
        </w:rPr>
      </w:pPr>
      <w:r>
        <w:rPr>
          <w:lang w:val="en-US"/>
        </w:rPr>
        <w:t xml:space="preserve">This demonstration has and will set the way for further roll out and scale-up in the future. </w:t>
      </w:r>
      <w:r w:rsidR="0059666E">
        <w:rPr>
          <w:lang w:val="en-US"/>
        </w:rPr>
        <w:t>C</w:t>
      </w:r>
      <w:r>
        <w:rPr>
          <w:lang w:val="en-US"/>
        </w:rPr>
        <w:t>ertain features of MSF</w:t>
      </w:r>
      <w:r w:rsidR="0059666E">
        <w:rPr>
          <w:lang w:val="en-US"/>
        </w:rPr>
        <w:t>’s</w:t>
      </w:r>
      <w:r>
        <w:rPr>
          <w:lang w:val="en-US"/>
        </w:rPr>
        <w:t xml:space="preserve"> work that have served as success factors </w:t>
      </w:r>
      <w:r w:rsidR="0059666E">
        <w:rPr>
          <w:lang w:val="en-US"/>
        </w:rPr>
        <w:t xml:space="preserve">for </w:t>
      </w:r>
      <w:r w:rsidR="003C6684">
        <w:rPr>
          <w:lang w:val="en-US"/>
        </w:rPr>
        <w:t>hand-over</w:t>
      </w:r>
      <w:r w:rsidR="0059666E">
        <w:rPr>
          <w:lang w:val="en-US"/>
        </w:rPr>
        <w:t xml:space="preserve">/ scale-up </w:t>
      </w:r>
      <w:r>
        <w:rPr>
          <w:lang w:val="en-US"/>
        </w:rPr>
        <w:t>have include</w:t>
      </w:r>
      <w:r w:rsidR="008654AE">
        <w:rPr>
          <w:lang w:val="en-US"/>
        </w:rPr>
        <w:t>d</w:t>
      </w:r>
      <w:r>
        <w:rPr>
          <w:lang w:val="en-US"/>
        </w:rPr>
        <w:t xml:space="preserve"> the degree to which they have engaged with government stakeholders (from the beginning, continuously and on an ongoing basis</w:t>
      </w:r>
      <w:r w:rsidR="009B2E1A">
        <w:rPr>
          <w:lang w:val="en-US"/>
        </w:rPr>
        <w:t>, as was the case in Zimbabwe</w:t>
      </w:r>
      <w:r>
        <w:rPr>
          <w:lang w:val="en-US"/>
        </w:rPr>
        <w:t>) as well as with CSOs and other community bodies (such as the CAGs) which have supported demand creation and efficiency</w:t>
      </w:r>
      <w:r w:rsidR="0059666E">
        <w:rPr>
          <w:lang w:val="en-US"/>
        </w:rPr>
        <w:t>. On this latter aspect, t</w:t>
      </w:r>
      <w:r w:rsidR="009B2E1A">
        <w:rPr>
          <w:lang w:val="en-US"/>
        </w:rPr>
        <w:t xml:space="preserve">here have been some good examples, </w:t>
      </w:r>
      <w:r w:rsidR="003612C2">
        <w:rPr>
          <w:lang w:val="en-US"/>
        </w:rPr>
        <w:t xml:space="preserve">although this has varied between </w:t>
      </w:r>
      <w:r w:rsidR="00E118CB">
        <w:rPr>
          <w:lang w:val="en-US"/>
        </w:rPr>
        <w:t>settings</w:t>
      </w:r>
      <w:r w:rsidR="003612C2">
        <w:rPr>
          <w:lang w:val="en-US"/>
        </w:rPr>
        <w:t xml:space="preserve"> </w:t>
      </w:r>
      <w:r w:rsidR="00F20606">
        <w:rPr>
          <w:lang w:val="en-US"/>
        </w:rPr>
        <w:t>and</w:t>
      </w:r>
      <w:r w:rsidR="00804752">
        <w:rPr>
          <w:lang w:val="en-US"/>
        </w:rPr>
        <w:t xml:space="preserve"> potentially more could have been done if there had not been delays with the work </w:t>
      </w:r>
      <w:r w:rsidR="00F20606">
        <w:rPr>
          <w:lang w:val="en-US"/>
        </w:rPr>
        <w:t>of ITPC, as noted in Section 3.2</w:t>
      </w:r>
      <w:r>
        <w:rPr>
          <w:lang w:val="en-US"/>
        </w:rPr>
        <w:t xml:space="preserve">. </w:t>
      </w:r>
    </w:p>
    <w:p w14:paraId="379DC446" w14:textId="218F4C88" w:rsidR="00564565" w:rsidRPr="00B14E33" w:rsidRDefault="00564565" w:rsidP="00564565">
      <w:pPr>
        <w:pStyle w:val="CEPAReportText"/>
      </w:pPr>
      <w:r w:rsidRPr="00564565">
        <w:t xml:space="preserve">Several examples of health system efficiencies demonstrated through the project. </w:t>
      </w:r>
      <w:r>
        <w:rPr>
          <w:lang w:val="en-US"/>
        </w:rPr>
        <w:t>Box 3.4 presents experiences with regards to health system efficiencies across Malawi and Zimbabwe.</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2F2F2" w:themeFill="background1" w:themeFillShade="F2"/>
        <w:tblLook w:val="04A0" w:firstRow="1" w:lastRow="0" w:firstColumn="1" w:lastColumn="0" w:noHBand="0" w:noVBand="1"/>
      </w:tblPr>
      <w:tblGrid>
        <w:gridCol w:w="9016"/>
      </w:tblGrid>
      <w:tr w:rsidR="00564565" w:rsidRPr="006935C6" w14:paraId="09756D92" w14:textId="77777777" w:rsidTr="00844113">
        <w:trPr>
          <w:tblHeader/>
        </w:trPr>
        <w:tc>
          <w:tcPr>
            <w:tcW w:w="5000" w:type="pct"/>
            <w:shd w:val="clear" w:color="auto" w:fill="F2F2F2" w:themeFill="background1" w:themeFillShade="F2"/>
          </w:tcPr>
          <w:p w14:paraId="3A7F8FB1" w14:textId="3AEE7B90" w:rsidR="00564565" w:rsidRPr="009E0503" w:rsidRDefault="00564565" w:rsidP="00844113">
            <w:pPr>
              <w:pStyle w:val="CEPATabletext"/>
              <w:rPr>
                <w:b/>
              </w:rPr>
            </w:pPr>
            <w:r w:rsidRPr="009E0503">
              <w:rPr>
                <w:b/>
              </w:rPr>
              <w:t xml:space="preserve">Box </w:t>
            </w:r>
            <w:r>
              <w:rPr>
                <w:b/>
              </w:rPr>
              <w:t xml:space="preserve">3.4: </w:t>
            </w:r>
            <w:r w:rsidRPr="009E0503">
              <w:rPr>
                <w:b/>
              </w:rPr>
              <w:t xml:space="preserve">Health system efficiencies from VL testing across Malawi and Zimbabwe </w:t>
            </w:r>
          </w:p>
          <w:p w14:paraId="4AB8401C" w14:textId="77777777" w:rsidR="00564565" w:rsidRPr="00877041" w:rsidRDefault="00564565" w:rsidP="00844113">
            <w:pPr>
              <w:pStyle w:val="CEPATabletext"/>
            </w:pPr>
            <w:r>
              <w:t xml:space="preserve">A number of </w:t>
            </w:r>
            <w:r w:rsidRPr="00877041">
              <w:t xml:space="preserve">observed </w:t>
            </w:r>
            <w:r w:rsidRPr="009E0503">
              <w:t xml:space="preserve">health systems efficiencies were noted </w:t>
            </w:r>
            <w:r>
              <w:t xml:space="preserve">during our consultations </w:t>
            </w:r>
            <w:r w:rsidRPr="009E0503">
              <w:t xml:space="preserve">in Malawi and Zimbabwe, other than those already mentioned in Box </w:t>
            </w:r>
            <w:r>
              <w:t>3.1</w:t>
            </w:r>
            <w:r w:rsidRPr="009E0503">
              <w:t xml:space="preserve"> specifically noted with regards to POC in Chiradzulu and the CAG model in Box </w:t>
            </w:r>
            <w:r>
              <w:t>3.2</w:t>
            </w:r>
            <w:r w:rsidRPr="009E0503">
              <w:t>. Examples in include the following</w:t>
            </w:r>
            <w:r>
              <w:t>:</w:t>
            </w:r>
          </w:p>
          <w:p w14:paraId="19803E9A" w14:textId="77777777" w:rsidR="00564565" w:rsidRPr="00AD2BAE" w:rsidRDefault="00564565" w:rsidP="00844113">
            <w:pPr>
              <w:pStyle w:val="CEPATabletext"/>
              <w:numPr>
                <w:ilvl w:val="0"/>
                <w:numId w:val="23"/>
              </w:numPr>
            </w:pPr>
            <w:r w:rsidRPr="00AD2BAE">
              <w:t xml:space="preserve">Although VL testing has been a ‘new type of monitoring’, in general it has not added to the workload of HCWs as previously facilities were conducting six monthly CD4 testing. In comparison, if VL testing shows they are virally suppressed, then patients only need to be tested annually, bi-annually. </w:t>
            </w:r>
          </w:p>
          <w:p w14:paraId="67EE57E9" w14:textId="77777777" w:rsidR="00564565" w:rsidRPr="00AD2BAE" w:rsidRDefault="00564565" w:rsidP="00844113">
            <w:pPr>
              <w:pStyle w:val="CEPATabletext"/>
              <w:numPr>
                <w:ilvl w:val="0"/>
                <w:numId w:val="23"/>
              </w:numPr>
            </w:pPr>
            <w:r w:rsidRPr="00AD2BAE">
              <w:t>Through DBS, demonstrated that VL sample collection could be easier to manage than plasma with regard to cold chain, storage system needs etc.</w:t>
            </w:r>
          </w:p>
          <w:p w14:paraId="3DAF67CD" w14:textId="77777777" w:rsidR="00564565" w:rsidRPr="00AD2BAE" w:rsidRDefault="00564565" w:rsidP="00844113">
            <w:pPr>
              <w:pStyle w:val="CEPATabletext"/>
              <w:numPr>
                <w:ilvl w:val="0"/>
                <w:numId w:val="23"/>
              </w:numPr>
            </w:pPr>
            <w:r w:rsidRPr="00AD2BAE">
              <w:t xml:space="preserve">Through task shifting, it is possible for sample collection, </w:t>
            </w:r>
            <w:r>
              <w:t>second-line treatment</w:t>
            </w:r>
            <w:r w:rsidRPr="00AD2BAE">
              <w:t xml:space="preserve"> decision making (Thyolo) and counselling (Chiradzulu, Thyolo) to be made lower cadres.</w:t>
            </w:r>
          </w:p>
          <w:p w14:paraId="0D2DFB5E" w14:textId="77777777" w:rsidR="00564565" w:rsidRPr="00AD2BAE" w:rsidRDefault="00564565" w:rsidP="00844113">
            <w:pPr>
              <w:pStyle w:val="CEPATabletext"/>
              <w:numPr>
                <w:ilvl w:val="0"/>
                <w:numId w:val="23"/>
              </w:numPr>
            </w:pPr>
            <w:r w:rsidRPr="00AD2BAE">
              <w:t xml:space="preserve">If patients receive EAC post VL testing, and become virally suppressed, this can save on patients unnecessarily being switched to </w:t>
            </w:r>
            <w:r>
              <w:t>second-line treatment</w:t>
            </w:r>
            <w:r w:rsidRPr="00AD2BAE">
              <w:t xml:space="preserve">, which is more costly. </w:t>
            </w:r>
          </w:p>
          <w:p w14:paraId="3810FB19" w14:textId="77777777" w:rsidR="00564565" w:rsidRPr="00AD2BAE" w:rsidRDefault="00564565" w:rsidP="00844113">
            <w:pPr>
              <w:pStyle w:val="CEPATabletext"/>
              <w:numPr>
                <w:ilvl w:val="0"/>
                <w:numId w:val="23"/>
              </w:numPr>
            </w:pPr>
            <w:r w:rsidRPr="00AD2BAE">
              <w:t>VL testing provided clinicians with information regarding which patients can be ‘fast-tracked’ if found to be virally suppressed.</w:t>
            </w:r>
          </w:p>
          <w:p w14:paraId="7E7DBF87" w14:textId="77777777" w:rsidR="00564565" w:rsidRPr="00AD2BAE" w:rsidRDefault="00564565" w:rsidP="00844113">
            <w:pPr>
              <w:pStyle w:val="CEPATabletext"/>
              <w:numPr>
                <w:ilvl w:val="0"/>
                <w:numId w:val="23"/>
              </w:numPr>
            </w:pPr>
            <w:r w:rsidRPr="00AD2BAE">
              <w:t>In Zimbabwe, systems for data and forms were introduced by MSF, as these were a big bottleneck.</w:t>
            </w:r>
          </w:p>
          <w:p w14:paraId="392988E4" w14:textId="77777777" w:rsidR="00564565" w:rsidRPr="006E52A9" w:rsidRDefault="00564565" w:rsidP="00844113">
            <w:pPr>
              <w:pStyle w:val="CEPATabletext"/>
              <w:numPr>
                <w:ilvl w:val="0"/>
                <w:numId w:val="23"/>
              </w:numPr>
            </w:pPr>
            <w:r w:rsidRPr="00AD2BAE">
              <w:t>Multi-platforms (such as use of the GeneXpert in Zimbabwe) have the benefits of reducing under-utilisation if a platform is only used for testing for one disease.</w:t>
            </w:r>
            <w:r>
              <w:t xml:space="preserve">  </w:t>
            </w:r>
          </w:p>
        </w:tc>
      </w:tr>
    </w:tbl>
    <w:p w14:paraId="7C135F3F" w14:textId="2335A684" w:rsidR="00564565" w:rsidRDefault="00CB1DC8" w:rsidP="00564565">
      <w:pPr>
        <w:pStyle w:val="CEPAReportText"/>
        <w:rPr>
          <w:lang w:val="en-US"/>
        </w:rPr>
      </w:pPr>
      <w:r>
        <w:rPr>
          <w:lang w:val="en-US"/>
        </w:rPr>
        <w:t xml:space="preserve">Looking </w:t>
      </w:r>
      <w:r w:rsidR="00564565">
        <w:rPr>
          <w:lang w:val="en-US"/>
        </w:rPr>
        <w:t>across the nine project countries, the focus of MSF’s work has been more on laboratory-based VL testing as compared to POC testing.</w:t>
      </w:r>
      <w:r w:rsidR="00564565">
        <w:rPr>
          <w:rStyle w:val="FootnoteReference"/>
          <w:lang w:val="en-US"/>
        </w:rPr>
        <w:footnoteReference w:id="70"/>
      </w:r>
      <w:r w:rsidR="00564565">
        <w:rPr>
          <w:lang w:val="en-US"/>
        </w:rPr>
        <w:t xml:space="preserve"> This has largely been on account of the delayed pipeline of POC products, but also based on country acceptability and context viability for introduction of POC testing. As such, a number of the lessons learnt through this work by MSF are based on models adopted for laboratory-based VL testing and further work is needed on evidence-base and demand creation for POC testing. Our conclusion from the MSF project work however is that its demonstration has been more successful at the laboratory rather than POC level.</w:t>
      </w:r>
    </w:p>
    <w:p w14:paraId="59D50240" w14:textId="141C088C" w:rsidR="00564565" w:rsidRDefault="00564565" w:rsidP="00564565">
      <w:pPr>
        <w:pStyle w:val="CEPAReportText"/>
        <w:rPr>
          <w:lang w:val="en-US"/>
        </w:rPr>
      </w:pPr>
      <w:r>
        <w:rPr>
          <w:lang w:val="en-US"/>
        </w:rPr>
        <w:t xml:space="preserve">That said, the models employed have considered decentralised testing approaches more generally – most notably through the DBS approaches which have been extensively piloted and tested through the range of MSF projects across the countries. Indeed, there has been much good learning with regards to the use of DBS in routine VL testing through this MSF project, noting in the </w:t>
      </w:r>
      <w:r w:rsidRPr="00E0648A">
        <w:rPr>
          <w:i/>
          <w:lang w:val="en-US"/>
        </w:rPr>
        <w:t>Making Viral Load Routine</w:t>
      </w:r>
      <w:r>
        <w:rPr>
          <w:lang w:val="en-US"/>
        </w:rPr>
        <w:t xml:space="preserve"> report, “</w:t>
      </w:r>
      <w:r>
        <w:t>While plasma remains the gold standard, use of DBS and near POC helps overcome the challenges of sample transport”</w:t>
      </w:r>
      <w:r w:rsidR="00ED11F8">
        <w:t>.</w:t>
      </w:r>
    </w:p>
    <w:p w14:paraId="45E6DD27" w14:textId="26DE5CD2" w:rsidR="00564565" w:rsidRDefault="00564565" w:rsidP="00564565">
      <w:pPr>
        <w:pStyle w:val="Heading4"/>
        <w:rPr>
          <w:lang w:val="en-US"/>
        </w:rPr>
      </w:pPr>
      <w:r>
        <w:rPr>
          <w:lang w:val="en-US"/>
        </w:rPr>
        <w:t xml:space="preserve">Key ongoing issues in countries </w:t>
      </w:r>
    </w:p>
    <w:p w14:paraId="0C6120B8" w14:textId="480BB133" w:rsidR="008E278A" w:rsidRDefault="00CB1DC8" w:rsidP="008E278A">
      <w:pPr>
        <w:pStyle w:val="CEPAReportText"/>
        <w:rPr>
          <w:lang w:val="en-US"/>
        </w:rPr>
      </w:pPr>
      <w:r>
        <w:rPr>
          <w:lang w:val="en-US"/>
        </w:rPr>
        <w:t>Key</w:t>
      </w:r>
      <w:r w:rsidR="008E278A">
        <w:rPr>
          <w:lang w:val="en-US"/>
        </w:rPr>
        <w:t xml:space="preserve"> </w:t>
      </w:r>
      <w:r w:rsidR="00B758FE">
        <w:rPr>
          <w:lang w:val="en-US"/>
        </w:rPr>
        <w:t>issues</w:t>
      </w:r>
      <w:r w:rsidR="008E278A">
        <w:rPr>
          <w:lang w:val="en-US"/>
        </w:rPr>
        <w:t xml:space="preserve">, </w:t>
      </w:r>
      <w:r w:rsidR="009B3765">
        <w:rPr>
          <w:lang w:val="en-US"/>
        </w:rPr>
        <w:t>some of which are</w:t>
      </w:r>
      <w:r w:rsidR="008E278A">
        <w:rPr>
          <w:lang w:val="en-US"/>
        </w:rPr>
        <w:t xml:space="preserve"> also outlined in the end of project report as well as MSF’s flagship publication on </w:t>
      </w:r>
      <w:r w:rsidR="008E278A" w:rsidRPr="00F65794">
        <w:rPr>
          <w:i/>
          <w:lang w:val="en-US"/>
        </w:rPr>
        <w:t>Making Viral Load Routine</w:t>
      </w:r>
      <w:r w:rsidR="008E278A">
        <w:rPr>
          <w:lang w:val="en-US"/>
        </w:rPr>
        <w:t>, are as follows:</w:t>
      </w:r>
    </w:p>
    <w:p w14:paraId="0530DA09" w14:textId="12EEFD49" w:rsidR="008E278A" w:rsidRDefault="00692E9B" w:rsidP="008E278A">
      <w:pPr>
        <w:pStyle w:val="CEPABullets"/>
        <w:rPr>
          <w:lang w:val="en-US"/>
        </w:rPr>
      </w:pPr>
      <w:r>
        <w:rPr>
          <w:b/>
          <w:lang w:val="en-US"/>
        </w:rPr>
        <w:t>Continued low and varying c</w:t>
      </w:r>
      <w:r w:rsidR="00EE2322">
        <w:rPr>
          <w:b/>
          <w:lang w:val="en-US"/>
        </w:rPr>
        <w:t>overage rates</w:t>
      </w:r>
      <w:r>
        <w:rPr>
          <w:b/>
          <w:lang w:val="en-US"/>
        </w:rPr>
        <w:t xml:space="preserve"> across countries</w:t>
      </w:r>
      <w:r w:rsidR="00EE2322" w:rsidRPr="00EE2322">
        <w:rPr>
          <w:b/>
          <w:lang w:val="en-US"/>
        </w:rPr>
        <w:t xml:space="preserve">: </w:t>
      </w:r>
      <w:r w:rsidR="008E278A">
        <w:rPr>
          <w:lang w:val="en-US"/>
        </w:rPr>
        <w:t xml:space="preserve">While the project sites have demonstrated </w:t>
      </w:r>
      <w:r w:rsidR="00D8480E">
        <w:rPr>
          <w:lang w:val="en-US"/>
        </w:rPr>
        <w:t>an improvement in</w:t>
      </w:r>
      <w:r w:rsidR="008E278A">
        <w:rPr>
          <w:lang w:val="en-US"/>
        </w:rPr>
        <w:t xml:space="preserve"> coverage rates, VL testing coverage as a whole within the project countries is very low. As noted in the </w:t>
      </w:r>
      <w:r w:rsidR="008E278A" w:rsidRPr="00E0648A">
        <w:rPr>
          <w:i/>
          <w:lang w:val="en-US"/>
        </w:rPr>
        <w:t>Making Viral Load Routine</w:t>
      </w:r>
      <w:r w:rsidR="008E278A">
        <w:rPr>
          <w:lang w:val="en-US"/>
        </w:rPr>
        <w:t xml:space="preserve"> publication, </w:t>
      </w:r>
      <w:r w:rsidR="008E278A">
        <w:t xml:space="preserve">coverage is low and varies considerably (32-91% in MSF supported sites), with the probability of having a second VL test following an initial high VL being even lower (23-71% in MSF project sites). </w:t>
      </w:r>
    </w:p>
    <w:p w14:paraId="4F561730" w14:textId="2AF00686" w:rsidR="008E278A" w:rsidRPr="000A6612" w:rsidRDefault="00EE2322" w:rsidP="008E278A">
      <w:pPr>
        <w:pStyle w:val="CEPABullets"/>
        <w:rPr>
          <w:lang w:val="en-US"/>
        </w:rPr>
      </w:pPr>
      <w:r w:rsidRPr="00EE2322">
        <w:rPr>
          <w:b/>
          <w:lang w:val="en-US"/>
        </w:rPr>
        <w:t xml:space="preserve">Maintenance challenges and supply chain </w:t>
      </w:r>
      <w:r w:rsidR="00692E9B">
        <w:rPr>
          <w:b/>
          <w:lang w:val="en-US"/>
        </w:rPr>
        <w:t xml:space="preserve">as ongoing </w:t>
      </w:r>
      <w:r w:rsidRPr="00EE2322">
        <w:rPr>
          <w:b/>
          <w:lang w:val="en-US"/>
        </w:rPr>
        <w:t>issues:</w:t>
      </w:r>
      <w:r>
        <w:rPr>
          <w:lang w:val="en-US"/>
        </w:rPr>
        <w:t xml:space="preserve"> </w:t>
      </w:r>
      <w:r w:rsidR="008E278A">
        <w:rPr>
          <w:lang w:val="en-US"/>
        </w:rPr>
        <w:t xml:space="preserve">Maintenance challenges have been fairly extensive across project countries, for example as noted in the case studies </w:t>
      </w:r>
      <w:r w:rsidR="008E278A" w:rsidRPr="000A6612">
        <w:rPr>
          <w:lang w:val="en-US"/>
        </w:rPr>
        <w:t xml:space="preserve">presented above. </w:t>
      </w:r>
      <w:r w:rsidR="008E278A">
        <w:rPr>
          <w:lang w:val="en-US"/>
        </w:rPr>
        <w:t xml:space="preserve">Further, poor supply chain functioning in countries also creates further challenges. For example, the </w:t>
      </w:r>
      <w:r w:rsidR="008E278A" w:rsidRPr="000A6612">
        <w:rPr>
          <w:lang w:val="en-US"/>
        </w:rPr>
        <w:t xml:space="preserve">MSF annual report states that </w:t>
      </w:r>
      <w:r w:rsidR="008E278A" w:rsidRPr="000A6612">
        <w:t>the Abbott platform arrived June 2015</w:t>
      </w:r>
      <w:r w:rsidR="008E278A">
        <w:t xml:space="preserve"> in DRC</w:t>
      </w:r>
      <w:r w:rsidR="008E278A" w:rsidRPr="000A6612">
        <w:t xml:space="preserve">, but was only operational for 72 days out of 191 in 2015 due to lack of consumables, a small broken bolt, and a cold chain rupture resulting in the reagents being put in quarantine. </w:t>
      </w:r>
    </w:p>
    <w:p w14:paraId="34C469F3" w14:textId="5BDD456B" w:rsidR="008E278A" w:rsidRDefault="00692E9B" w:rsidP="008E278A">
      <w:pPr>
        <w:pStyle w:val="CEPABullets"/>
        <w:rPr>
          <w:lang w:val="en-US"/>
        </w:rPr>
      </w:pPr>
      <w:r>
        <w:rPr>
          <w:b/>
          <w:lang w:val="en-US"/>
        </w:rPr>
        <w:t xml:space="preserve">Varying </w:t>
      </w:r>
      <w:r w:rsidR="00EE2322" w:rsidRPr="00EE2322">
        <w:rPr>
          <w:b/>
          <w:lang w:val="en-US"/>
        </w:rPr>
        <w:t>TATs</w:t>
      </w:r>
      <w:r>
        <w:rPr>
          <w:b/>
          <w:lang w:val="en-US"/>
        </w:rPr>
        <w:t xml:space="preserve"> and great need to reduce</w:t>
      </w:r>
      <w:r w:rsidR="00EE2322" w:rsidRPr="00EE2322">
        <w:rPr>
          <w:b/>
          <w:lang w:val="en-US"/>
        </w:rPr>
        <w:t xml:space="preserve">: </w:t>
      </w:r>
      <w:r w:rsidR="008E278A">
        <w:rPr>
          <w:lang w:val="en-US"/>
        </w:rPr>
        <w:t xml:space="preserve">Experiences with improvements in test </w:t>
      </w:r>
      <w:r w:rsidR="00AB26B8">
        <w:rPr>
          <w:lang w:val="en-US"/>
        </w:rPr>
        <w:t>TATs</w:t>
      </w:r>
      <w:r w:rsidR="008E278A">
        <w:rPr>
          <w:lang w:val="en-US"/>
        </w:rPr>
        <w:t xml:space="preserve"> have varied substantially by country/ technology/ setting, but in general, there is considerable scope to reduce </w:t>
      </w:r>
      <w:r w:rsidR="008327DC">
        <w:rPr>
          <w:lang w:val="en-US"/>
        </w:rPr>
        <w:t xml:space="preserve">TATs </w:t>
      </w:r>
      <w:r w:rsidR="008E278A">
        <w:rPr>
          <w:lang w:val="en-US"/>
        </w:rPr>
        <w:t>across the board.</w:t>
      </w:r>
    </w:p>
    <w:p w14:paraId="6E215D20" w14:textId="7DB55467" w:rsidR="008E278A" w:rsidRDefault="00692E9B" w:rsidP="008E278A">
      <w:pPr>
        <w:pStyle w:val="CEPABullets"/>
        <w:rPr>
          <w:lang w:val="en-US"/>
        </w:rPr>
      </w:pPr>
      <w:r>
        <w:rPr>
          <w:b/>
          <w:lang w:val="en-US"/>
        </w:rPr>
        <w:t>Challenge with low s</w:t>
      </w:r>
      <w:r w:rsidR="00EE2322">
        <w:rPr>
          <w:b/>
          <w:lang w:val="en-US"/>
        </w:rPr>
        <w:t xml:space="preserve">witching rates: </w:t>
      </w:r>
      <w:r w:rsidR="008E278A">
        <w:rPr>
          <w:lang w:val="en-US"/>
        </w:rPr>
        <w:t>In a similar vein, while some successes have been achieved on switching rates within the project sites (albeit noted as challenging), this continues to be a major issue in countries as discussed further in Section 4.2.</w:t>
      </w:r>
    </w:p>
    <w:p w14:paraId="10FE8A44" w14:textId="67C99560" w:rsidR="008E278A" w:rsidRDefault="00692E9B" w:rsidP="00864427">
      <w:pPr>
        <w:pStyle w:val="CEPABullets"/>
        <w:rPr>
          <w:lang w:val="en-US"/>
        </w:rPr>
      </w:pPr>
      <w:r>
        <w:rPr>
          <w:b/>
          <w:lang w:val="en-US"/>
        </w:rPr>
        <w:t>Challenge with w</w:t>
      </w:r>
      <w:r w:rsidR="00EE2322">
        <w:rPr>
          <w:b/>
          <w:lang w:val="en-US"/>
        </w:rPr>
        <w:t xml:space="preserve">aste management: </w:t>
      </w:r>
      <w:r w:rsidR="008E278A" w:rsidDel="00864427">
        <w:rPr>
          <w:lang w:val="en-US"/>
        </w:rPr>
        <w:t>Unfinished work also remains with regards to waste management</w:t>
      </w:r>
      <w:r w:rsidR="00E47E85">
        <w:rPr>
          <w:lang w:val="en-US"/>
        </w:rPr>
        <w:t xml:space="preserve">. This particularly relates to cyanide which is </w:t>
      </w:r>
      <w:r w:rsidR="00537DCA">
        <w:rPr>
          <w:lang w:val="en-US"/>
        </w:rPr>
        <w:t>produced by most of the platforms.</w:t>
      </w:r>
      <w:r w:rsidR="00864427">
        <w:rPr>
          <w:lang w:val="en-US"/>
        </w:rPr>
        <w:t xml:space="preserve"> </w:t>
      </w:r>
      <w:r w:rsidR="00D15A28">
        <w:rPr>
          <w:lang w:val="en-US"/>
        </w:rPr>
        <w:t>C</w:t>
      </w:r>
      <w:r w:rsidR="008E278A">
        <w:rPr>
          <w:lang w:val="en-US"/>
        </w:rPr>
        <w:t xml:space="preserve">ountry consultations </w:t>
      </w:r>
      <w:r w:rsidR="00344295">
        <w:rPr>
          <w:lang w:val="en-US"/>
        </w:rPr>
        <w:t xml:space="preserve">highlighted </w:t>
      </w:r>
      <w:r w:rsidR="00537DCA">
        <w:rPr>
          <w:lang w:val="en-US"/>
        </w:rPr>
        <w:t>waste management</w:t>
      </w:r>
      <w:r w:rsidR="00344295">
        <w:rPr>
          <w:lang w:val="en-US"/>
        </w:rPr>
        <w:t xml:space="preserve"> as an</w:t>
      </w:r>
      <w:r w:rsidR="008E278A">
        <w:rPr>
          <w:lang w:val="en-US"/>
        </w:rPr>
        <w:t xml:space="preserve"> outstanding issue that requires further work in terms of </w:t>
      </w:r>
      <w:r w:rsidR="008E278A">
        <w:t>technical guidance, regulation and funding</w:t>
      </w:r>
      <w:r w:rsidR="00C911AD">
        <w:t>, and if not addressed, poses a</w:t>
      </w:r>
      <w:r w:rsidR="00CF2C71">
        <w:t>n important</w:t>
      </w:r>
      <w:r w:rsidR="00C911AD">
        <w:t xml:space="preserve"> risk</w:t>
      </w:r>
      <w:r w:rsidR="008E278A">
        <w:rPr>
          <w:lang w:val="en-US"/>
        </w:rPr>
        <w:t>.</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808080" w:themeFill="background1" w:themeFillShade="80"/>
        <w:tblLook w:val="04A0" w:firstRow="1" w:lastRow="0" w:firstColumn="1" w:lastColumn="0" w:noHBand="0" w:noVBand="1"/>
      </w:tblPr>
      <w:tblGrid>
        <w:gridCol w:w="9016"/>
      </w:tblGrid>
      <w:tr w:rsidR="003B4B37" w:rsidRPr="00692E9B" w14:paraId="428A4ED5" w14:textId="77777777" w:rsidTr="00B14E33">
        <w:trPr>
          <w:trHeight w:val="400"/>
          <w:tblHeader/>
        </w:trPr>
        <w:tc>
          <w:tcPr>
            <w:tcW w:w="5000" w:type="pct"/>
            <w:shd w:val="clear" w:color="auto" w:fill="7EA8DC" w:themeFill="text1" w:themeFillTint="80"/>
          </w:tcPr>
          <w:p w14:paraId="3D7A8344" w14:textId="37271BF4" w:rsidR="003B4B37" w:rsidRPr="00692E9B" w:rsidRDefault="003B4B37" w:rsidP="00B14E33">
            <w:pPr>
              <w:pStyle w:val="CEPATabletext"/>
              <w:rPr>
                <w:b/>
                <w:color w:val="FFFFFF" w:themeColor="background1"/>
                <w:sz w:val="24"/>
              </w:rPr>
            </w:pPr>
            <w:bookmarkStart w:id="337" w:name="_Toc476672645"/>
            <w:bookmarkStart w:id="338" w:name="_Toc476841245"/>
            <w:bookmarkStart w:id="339" w:name="_Toc477356737"/>
            <w:bookmarkStart w:id="340" w:name="_Toc479157484"/>
            <w:bookmarkStart w:id="341" w:name="_Toc480382921"/>
            <w:bookmarkStart w:id="342" w:name="_Toc480382970"/>
            <w:bookmarkStart w:id="343" w:name="_Toc480401076"/>
            <w:bookmarkStart w:id="344" w:name="_Toc480448403"/>
            <w:bookmarkStart w:id="345" w:name="_Toc480475257"/>
            <w:bookmarkStart w:id="346" w:name="_Toc480476413"/>
            <w:bookmarkStart w:id="347" w:name="_Toc480546089"/>
            <w:bookmarkStart w:id="348" w:name="_Toc480549676"/>
            <w:bookmarkStart w:id="349" w:name="_Toc480553070"/>
            <w:bookmarkStart w:id="350" w:name="_Toc497836033"/>
            <w:bookmarkStart w:id="351" w:name="_Toc498093554"/>
            <w:bookmarkStart w:id="352" w:name="_Toc498094650"/>
            <w:r w:rsidRPr="00692E9B">
              <w:rPr>
                <w:b/>
                <w:color w:val="FFFFFF" w:themeColor="background1"/>
                <w:sz w:val="24"/>
              </w:rPr>
              <w:t>Summary findings:</w:t>
            </w:r>
          </w:p>
          <w:p w14:paraId="726A4B57" w14:textId="44B3FE53" w:rsidR="003B4B37" w:rsidRDefault="003B4B37" w:rsidP="00B14E33">
            <w:pPr>
              <w:pStyle w:val="CEPATabletext"/>
              <w:rPr>
                <w:color w:val="FFFFFF" w:themeColor="background1"/>
                <w:sz w:val="24"/>
              </w:rPr>
            </w:pPr>
            <w:r w:rsidRPr="00692E9B">
              <w:rPr>
                <w:color w:val="FFFFFF" w:themeColor="background1"/>
                <w:sz w:val="24"/>
              </w:rPr>
              <w:t xml:space="preserve">The MSF programme in Zimbabwe has worked particularly well, with good linkages with the government and </w:t>
            </w:r>
            <w:r w:rsidR="003C6684">
              <w:rPr>
                <w:color w:val="FFFFFF" w:themeColor="background1"/>
                <w:sz w:val="24"/>
              </w:rPr>
              <w:t>hand-over</w:t>
            </w:r>
            <w:r w:rsidRPr="00692E9B">
              <w:rPr>
                <w:color w:val="FFFFFF" w:themeColor="background1"/>
                <w:sz w:val="24"/>
              </w:rPr>
              <w:t xml:space="preserve">, alongside support for scale-up. The project has also worked reasonably well in Malawi Thyolo, where the adaptability of the MSF programme paved the way for a greater degree of </w:t>
            </w:r>
            <w:r w:rsidR="003C6684">
              <w:rPr>
                <w:color w:val="FFFFFF" w:themeColor="background1"/>
                <w:sz w:val="24"/>
              </w:rPr>
              <w:t xml:space="preserve">hand-over and </w:t>
            </w:r>
            <w:r w:rsidRPr="00692E9B">
              <w:rPr>
                <w:color w:val="FFFFFF" w:themeColor="background1"/>
                <w:sz w:val="24"/>
              </w:rPr>
              <w:t>government commitment, and the DBS demonstrati</w:t>
            </w:r>
            <w:r w:rsidR="003C6684">
              <w:rPr>
                <w:color w:val="FFFFFF" w:themeColor="background1"/>
                <w:sz w:val="24"/>
              </w:rPr>
              <w:t>on work and linkages with the CA</w:t>
            </w:r>
            <w:r w:rsidRPr="00692E9B">
              <w:rPr>
                <w:color w:val="FFFFFF" w:themeColor="background1"/>
                <w:sz w:val="24"/>
              </w:rPr>
              <w:t xml:space="preserve">Gs worked particularly well. Malawi Chiradzulu has seen lesser results at project close </w:t>
            </w:r>
            <w:r w:rsidR="003607B1">
              <w:rPr>
                <w:color w:val="FFFFFF" w:themeColor="background1"/>
                <w:sz w:val="24"/>
              </w:rPr>
              <w:t xml:space="preserve">in terms of </w:t>
            </w:r>
            <w:r w:rsidRPr="00692E9B">
              <w:rPr>
                <w:color w:val="FFFFFF" w:themeColor="background1"/>
                <w:sz w:val="24"/>
              </w:rPr>
              <w:t xml:space="preserve">the SAMBA </w:t>
            </w:r>
            <w:r w:rsidR="003C6684">
              <w:rPr>
                <w:color w:val="FFFFFF" w:themeColor="background1"/>
                <w:sz w:val="24"/>
              </w:rPr>
              <w:t xml:space="preserve">platform </w:t>
            </w:r>
            <w:r w:rsidRPr="00692E9B">
              <w:rPr>
                <w:color w:val="FFFFFF" w:themeColor="background1"/>
                <w:sz w:val="24"/>
              </w:rPr>
              <w:t>not being taken over by t</w:t>
            </w:r>
            <w:r w:rsidR="003C6684">
              <w:rPr>
                <w:color w:val="FFFFFF" w:themeColor="background1"/>
                <w:sz w:val="24"/>
              </w:rPr>
              <w:t>he government due to high costs. H</w:t>
            </w:r>
            <w:r w:rsidR="003607B1">
              <w:rPr>
                <w:color w:val="FFFFFF" w:themeColor="background1"/>
                <w:sz w:val="24"/>
              </w:rPr>
              <w:t>owever</w:t>
            </w:r>
            <w:r w:rsidRPr="00692E9B">
              <w:rPr>
                <w:color w:val="FFFFFF" w:themeColor="background1"/>
                <w:sz w:val="24"/>
              </w:rPr>
              <w:t xml:space="preserve"> the demonstration of the many positive benefits of POC </w:t>
            </w:r>
            <w:r w:rsidR="003C6684">
              <w:rPr>
                <w:color w:val="FFFFFF" w:themeColor="background1"/>
                <w:sz w:val="24"/>
              </w:rPr>
              <w:t xml:space="preserve">VL </w:t>
            </w:r>
            <w:r w:rsidRPr="00692E9B">
              <w:rPr>
                <w:color w:val="FFFFFF" w:themeColor="background1"/>
                <w:sz w:val="24"/>
              </w:rPr>
              <w:t>testing has been useful, supporting the government’s decision to take forward targeted rather than routine manner at present</w:t>
            </w:r>
            <w:r w:rsidR="00B14E33" w:rsidRPr="00692E9B">
              <w:rPr>
                <w:color w:val="FFFFFF" w:themeColor="background1"/>
                <w:sz w:val="24"/>
              </w:rPr>
              <w:t>.</w:t>
            </w:r>
            <w:r w:rsidR="00E44DFD">
              <w:rPr>
                <w:color w:val="FFFFFF" w:themeColor="background1"/>
                <w:sz w:val="24"/>
              </w:rPr>
              <w:t xml:space="preserve"> </w:t>
            </w:r>
          </w:p>
          <w:p w14:paraId="5D86EBB1" w14:textId="5532BE3B" w:rsidR="00CB1DC8" w:rsidRPr="00CB1DC8" w:rsidRDefault="00CB1DC8" w:rsidP="00CB1DC8">
            <w:pPr>
              <w:pStyle w:val="CEPATabletext"/>
              <w:rPr>
                <w:color w:val="FFFFFF" w:themeColor="background1"/>
                <w:sz w:val="24"/>
              </w:rPr>
            </w:pPr>
            <w:r w:rsidRPr="00CB1DC8">
              <w:rPr>
                <w:color w:val="FFFFFF" w:themeColor="background1"/>
                <w:sz w:val="24"/>
              </w:rPr>
              <w:t xml:space="preserve">These varying country experiences have been due to differing country contexts and the suitability of the diagnostic technology and testing plan within these settings, and therefore lack of full hand-over at the end of the MSF project need not be viewed as an issue per se. Indeed, the main benefit of the MSF project across all three countries has been its demonstration work that has shown that routine VL testing can be feasible and is much needed in countries. Certain features of MSF’s work that have served as success factors for hand-over/ scale-up have included the degree to which they have engaged with government stakeholders as well as with CSOs and other community bodies (such as the CAGs). </w:t>
            </w:r>
          </w:p>
          <w:p w14:paraId="68664A93" w14:textId="48FFFD47" w:rsidR="00CB1DC8" w:rsidRPr="00CB1DC8" w:rsidRDefault="00CB1DC8" w:rsidP="00CB1DC8">
            <w:pPr>
              <w:pStyle w:val="CEPATabletext"/>
              <w:rPr>
                <w:color w:val="FFFFFF" w:themeColor="background1"/>
                <w:sz w:val="24"/>
              </w:rPr>
            </w:pPr>
            <w:r w:rsidRPr="00CB1DC8">
              <w:rPr>
                <w:color w:val="FFFFFF" w:themeColor="background1"/>
                <w:sz w:val="24"/>
              </w:rPr>
              <w:t>Looking across the nine project countries, the focus of MSF’s work has been more on laboratory-based VL testing as compared to POC testing</w:t>
            </w:r>
            <w:r>
              <w:rPr>
                <w:color w:val="FFFFFF" w:themeColor="background1"/>
                <w:sz w:val="24"/>
              </w:rPr>
              <w:t>.</w:t>
            </w:r>
            <w:r w:rsidRPr="00CB1DC8">
              <w:rPr>
                <w:color w:val="FFFFFF" w:themeColor="background1"/>
                <w:sz w:val="24"/>
              </w:rPr>
              <w:t xml:space="preserve"> As such, a number of the lessons learnt through this work by MSF are based on models adopted for laboratory-based VL testing and further work is needed on evidence-base and demand creation for POC testing.</w:t>
            </w:r>
            <w:r>
              <w:rPr>
                <w:color w:val="FFFFFF" w:themeColor="background1"/>
                <w:sz w:val="24"/>
              </w:rPr>
              <w:t xml:space="preserve"> </w:t>
            </w:r>
          </w:p>
          <w:p w14:paraId="30D34DFA" w14:textId="700F07E4" w:rsidR="00CB1DC8" w:rsidRDefault="00CB1DC8" w:rsidP="00B14E33">
            <w:pPr>
              <w:pStyle w:val="CEPATabletext"/>
              <w:rPr>
                <w:color w:val="FFFFFF" w:themeColor="background1"/>
                <w:sz w:val="24"/>
              </w:rPr>
            </w:pPr>
            <w:r w:rsidRPr="00CB1DC8">
              <w:rPr>
                <w:color w:val="FFFFFF" w:themeColor="background1"/>
                <w:sz w:val="24"/>
              </w:rPr>
              <w:t xml:space="preserve">That said, the models employed have considered decentralised testing approaches more generally – most notably through the DBS approaches which have been extensively piloted and tested through the range of MSF projects across the countries. </w:t>
            </w:r>
          </w:p>
          <w:p w14:paraId="530D5BDF" w14:textId="3F8E70FF" w:rsidR="00337DE2" w:rsidRPr="00692E9B" w:rsidRDefault="00337DE2" w:rsidP="003C6684">
            <w:pPr>
              <w:pStyle w:val="CEPATabletext"/>
              <w:rPr>
                <w:sz w:val="24"/>
              </w:rPr>
            </w:pPr>
            <w:r>
              <w:rPr>
                <w:color w:val="FFFFFF" w:themeColor="background1"/>
                <w:sz w:val="24"/>
              </w:rPr>
              <w:t>Challenges</w:t>
            </w:r>
            <w:r w:rsidR="003C6684">
              <w:rPr>
                <w:color w:val="FFFFFF" w:themeColor="background1"/>
                <w:sz w:val="24"/>
              </w:rPr>
              <w:t xml:space="preserve"> persist</w:t>
            </w:r>
            <w:r>
              <w:rPr>
                <w:color w:val="FFFFFF" w:themeColor="background1"/>
                <w:sz w:val="24"/>
              </w:rPr>
              <w:t xml:space="preserve"> with low VL coverage rates, high TATs, low switching rates to </w:t>
            </w:r>
            <w:r w:rsidR="00093AAF">
              <w:rPr>
                <w:color w:val="FFFFFF" w:themeColor="background1"/>
                <w:sz w:val="24"/>
              </w:rPr>
              <w:t>second-line treatment</w:t>
            </w:r>
            <w:r>
              <w:rPr>
                <w:color w:val="FFFFFF" w:themeColor="background1"/>
                <w:sz w:val="24"/>
              </w:rPr>
              <w:t xml:space="preserve"> and with regards to waste management. </w:t>
            </w:r>
          </w:p>
        </w:tc>
      </w:tr>
    </w:tbl>
    <w:p w14:paraId="0062061C" w14:textId="77777777" w:rsidR="008E278A" w:rsidRDefault="00BC1E38" w:rsidP="008E278A">
      <w:pPr>
        <w:pStyle w:val="CEPAReportText"/>
        <w:rPr>
          <w:rFonts w:cs="Arial"/>
          <w:kern w:val="32"/>
          <w:sz w:val="28"/>
          <w:szCs w:val="28"/>
        </w:rPr>
      </w:pPr>
      <w:r>
        <w:br w:type="page"/>
      </w:r>
    </w:p>
    <w:p w14:paraId="5FF34055" w14:textId="7B464424" w:rsidR="00125677" w:rsidRPr="00BC1E38" w:rsidRDefault="00804124" w:rsidP="00125677">
      <w:pPr>
        <w:pStyle w:val="Heading1"/>
        <w:keepNext w:val="0"/>
        <w:numPr>
          <w:ilvl w:val="0"/>
          <w:numId w:val="2"/>
        </w:numPr>
        <w:tabs>
          <w:tab w:val="clear" w:pos="1440"/>
          <w:tab w:val="left" w:pos="720"/>
        </w:tabs>
        <w:spacing w:line="276" w:lineRule="auto"/>
      </w:pPr>
      <w:bookmarkStart w:id="353" w:name="_Toc499825747"/>
      <w:bookmarkStart w:id="354" w:name="_Toc499827491"/>
      <w:bookmarkStart w:id="355" w:name="_Toc500074985"/>
      <w:bookmarkStart w:id="356" w:name="_Toc500077851"/>
      <w:bookmarkStart w:id="357" w:name="_Toc500179385"/>
      <w:bookmarkStart w:id="358" w:name="_Toc500182464"/>
      <w:bookmarkStart w:id="359" w:name="_Toc500445652"/>
      <w:bookmarkStart w:id="360" w:name="_Toc500503130"/>
      <w:bookmarkStart w:id="361" w:name="_Toc500508113"/>
      <w:bookmarkStart w:id="362" w:name="_Toc500512841"/>
      <w:bookmarkStart w:id="363" w:name="_Toc500517767"/>
      <w:bookmarkStart w:id="364" w:name="_Toc500519582"/>
      <w:bookmarkStart w:id="365" w:name="_Toc500524429"/>
      <w:bookmarkStart w:id="366" w:name="_Toc506417401"/>
      <w:bookmarkStart w:id="367" w:name="_Toc515359225"/>
      <w:bookmarkStart w:id="368" w:name="_Hlk500437779"/>
      <w:r w:rsidRPr="00BC1E38">
        <w:t>Impact and sustainability</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BC1E38">
        <w:t xml:space="preserve"> </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7DCE893E" w14:textId="784F525B" w:rsidR="00BC1E38" w:rsidRPr="00BC1E38" w:rsidRDefault="008C007F" w:rsidP="00BC1E38">
      <w:pPr>
        <w:pStyle w:val="CEPAReportText"/>
      </w:pPr>
      <w:r>
        <w:t xml:space="preserve">The final evaluation dimension on impact and sustainability seeks to </w:t>
      </w:r>
      <w:r w:rsidRPr="005A7798">
        <w:rPr>
          <w:b/>
        </w:rPr>
        <w:t>assess the overall results/ benefit</w:t>
      </w:r>
      <w:r w:rsidR="00735C23">
        <w:rPr>
          <w:b/>
        </w:rPr>
        <w:t>s</w:t>
      </w:r>
      <w:r w:rsidRPr="005A7798">
        <w:rPr>
          <w:b/>
        </w:rPr>
        <w:t xml:space="preserve"> of the investment made by </w:t>
      </w:r>
      <w:r w:rsidR="00B55E9C">
        <w:rPr>
          <w:b/>
        </w:rPr>
        <w:t>Unitaid</w:t>
      </w:r>
      <w:r w:rsidRPr="005A7798">
        <w:rPr>
          <w:b/>
        </w:rPr>
        <w:t xml:space="preserve"> on the project</w:t>
      </w:r>
      <w:r>
        <w:t>. We consider the extent to which the project has contributed to addressing critical access barriers including with regard</w:t>
      </w:r>
      <w:r w:rsidR="00735C23">
        <w:t>s</w:t>
      </w:r>
      <w:r>
        <w:t xml:space="preserve"> to policy development (Section 4.1), the public health impact from disease monitoring and decentralised testing (Section 4.2) and the extent of sustainability of project sites and overall prospects for scalability (Section 4.3). </w:t>
      </w:r>
    </w:p>
    <w:p w14:paraId="40E09740" w14:textId="15B186E0" w:rsidR="004109CB" w:rsidRDefault="00BC1E38" w:rsidP="008E278A">
      <w:pPr>
        <w:pStyle w:val="Heading2"/>
      </w:pPr>
      <w:bookmarkStart w:id="369" w:name="_Toc500182465"/>
      <w:bookmarkStart w:id="370" w:name="_Toc500445653"/>
      <w:bookmarkStart w:id="371" w:name="_Toc500503131"/>
      <w:bookmarkStart w:id="372" w:name="_Toc500508114"/>
      <w:bookmarkStart w:id="373" w:name="_Toc500512842"/>
      <w:bookmarkStart w:id="374" w:name="_Toc500517768"/>
      <w:bookmarkStart w:id="375" w:name="_Toc500519583"/>
      <w:bookmarkStart w:id="376" w:name="_Toc500524430"/>
      <w:bookmarkStart w:id="377" w:name="_Toc506417402"/>
      <w:bookmarkStart w:id="378" w:name="_Toc515359226"/>
      <w:bookmarkStart w:id="379" w:name="_Hlk506468919"/>
      <w:r>
        <w:t>Addressing access and policy barriers</w:t>
      </w:r>
      <w:bookmarkEnd w:id="369"/>
      <w:bookmarkEnd w:id="370"/>
      <w:bookmarkEnd w:id="371"/>
      <w:bookmarkEnd w:id="372"/>
      <w:bookmarkEnd w:id="373"/>
      <w:bookmarkEnd w:id="374"/>
      <w:bookmarkEnd w:id="375"/>
      <w:bookmarkEnd w:id="376"/>
      <w:bookmarkEnd w:id="377"/>
      <w:bookmarkEnd w:id="378"/>
    </w:p>
    <w:bookmarkEnd w:id="379"/>
    <w:p w14:paraId="34C54929" w14:textId="255D875A" w:rsidR="009C1133" w:rsidRDefault="005A7798" w:rsidP="009C1133">
      <w:pPr>
        <w:pStyle w:val="CEPAReportText"/>
      </w:pPr>
      <w:r>
        <w:t>The</w:t>
      </w:r>
      <w:r w:rsidR="009C1133">
        <w:t xml:space="preserve"> evaluation question is as follows: </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9C1133" w:rsidRPr="00B943ED" w14:paraId="4D556E93" w14:textId="77777777" w:rsidTr="001132E8">
        <w:trPr>
          <w:trHeight w:val="503"/>
          <w:tblHeader/>
        </w:trPr>
        <w:tc>
          <w:tcPr>
            <w:tcW w:w="5000" w:type="pct"/>
            <w:shd w:val="solid" w:color="4B86CD" w:fill="auto"/>
          </w:tcPr>
          <w:p w14:paraId="0F9474E7" w14:textId="71A4E3CF" w:rsidR="009C1133" w:rsidRPr="009C1133" w:rsidRDefault="0008542C" w:rsidP="00846486">
            <w:pPr>
              <w:pStyle w:val="CEPATabletext"/>
              <w:numPr>
                <w:ilvl w:val="0"/>
                <w:numId w:val="9"/>
              </w:numPr>
              <w:rPr>
                <w:b/>
                <w:color w:val="FFFFFF"/>
                <w:sz w:val="24"/>
              </w:rPr>
            </w:pPr>
            <w:r w:rsidRPr="009C1133">
              <w:rPr>
                <w:b/>
                <w:color w:val="FFFFFF"/>
                <w:sz w:val="24"/>
              </w:rPr>
              <w:t>To what extent has the project contributed to addressing critical access barriers? Has the project evidence and communications supported policy development?</w:t>
            </w:r>
          </w:p>
        </w:tc>
      </w:tr>
    </w:tbl>
    <w:p w14:paraId="7ECC09FA" w14:textId="6A4DB053" w:rsidR="000A76AE" w:rsidRDefault="005A7798" w:rsidP="000A76AE">
      <w:pPr>
        <w:pStyle w:val="CEPAReportText"/>
      </w:pPr>
      <w:r>
        <w:t xml:space="preserve">One of the key objectives of </w:t>
      </w:r>
      <w:r w:rsidR="00B55E9C">
        <w:t>Unitaid</w:t>
      </w:r>
      <w:r>
        <w:t xml:space="preserve">’s 2017-21 Strategy is to overcome market barriers to catalyse equitable access to better health products (Strategic Objective 2). </w:t>
      </w:r>
      <w:r w:rsidR="000A76AE">
        <w:t xml:space="preserve">The </w:t>
      </w:r>
      <w:r w:rsidR="00ED11F8">
        <w:t>s</w:t>
      </w:r>
      <w:r w:rsidR="000A76AE">
        <w:t xml:space="preserve">trategy defines an effective market as one with the following attributes, which we have further defined in the context of the market for this project: </w:t>
      </w:r>
    </w:p>
    <w:p w14:paraId="1DD851E7" w14:textId="77777777" w:rsidR="00CB1DC8" w:rsidRDefault="00CB1DC8" w:rsidP="00CB1DC8">
      <w:pPr>
        <w:pStyle w:val="CEPABullets"/>
      </w:pPr>
      <w:r w:rsidRPr="000A76AE">
        <w:rPr>
          <w:b/>
        </w:rPr>
        <w:t>Demand and adoption:</w:t>
      </w:r>
      <w:r>
        <w:t xml:space="preserve"> Countries, programmes, providers and end users rapidly introduce and adopt the most cost-effective products within their local context. </w:t>
      </w:r>
    </w:p>
    <w:p w14:paraId="0ECAC7EA" w14:textId="77777777" w:rsidR="00CB1DC8" w:rsidRDefault="00CB1DC8" w:rsidP="00CB1DC8">
      <w:pPr>
        <w:pStyle w:val="CEPABullets"/>
      </w:pPr>
      <w:r w:rsidRPr="000A76AE">
        <w:rPr>
          <w:b/>
        </w:rPr>
        <w:t>Supply and delivery:</w:t>
      </w:r>
      <w:r>
        <w:t xml:space="preserve"> Supply chain systems including quantification, procurement, storage and distribution function effectively. Adequate and sustainable supply exists to meet global needs.</w:t>
      </w:r>
    </w:p>
    <w:p w14:paraId="5ED1675C" w14:textId="3D049EFB" w:rsidR="000A76AE" w:rsidRDefault="000A76AE" w:rsidP="008E278A">
      <w:pPr>
        <w:pStyle w:val="CEPABullets"/>
      </w:pPr>
      <w:r w:rsidRPr="000A76AE">
        <w:rPr>
          <w:b/>
        </w:rPr>
        <w:t>Innovation and availability:</w:t>
      </w:r>
      <w:r>
        <w:t xml:space="preserve"> Availability of new/ adapted diagnostic products for improved clinical efficacy, reduced cost, or better meeting </w:t>
      </w:r>
      <w:r w:rsidR="00735C23">
        <w:t xml:space="preserve">of </w:t>
      </w:r>
      <w:r>
        <w:t xml:space="preserve">the needs of end users, providers or supply chain managers. </w:t>
      </w:r>
    </w:p>
    <w:p w14:paraId="6946F9C4" w14:textId="34808773" w:rsidR="000A76AE" w:rsidRDefault="000A76AE" w:rsidP="008E278A">
      <w:pPr>
        <w:pStyle w:val="CEPABullets"/>
      </w:pPr>
      <w:r w:rsidRPr="000A76AE">
        <w:rPr>
          <w:b/>
        </w:rPr>
        <w:t>Quality:</w:t>
      </w:r>
      <w:r>
        <w:t xml:space="preserve"> </w:t>
      </w:r>
      <w:r w:rsidR="0025721B">
        <w:t>Q</w:t>
      </w:r>
      <w:r>
        <w:t>uality-assured</w:t>
      </w:r>
      <w:r w:rsidR="0025721B">
        <w:t xml:space="preserve"> diagnostic technologies, with</w:t>
      </w:r>
      <w:r>
        <w:t xml:space="preserve"> reliable information on the quality of the product. </w:t>
      </w:r>
    </w:p>
    <w:p w14:paraId="146C6208" w14:textId="77777777" w:rsidR="000A76AE" w:rsidRDefault="000A76AE" w:rsidP="008E278A">
      <w:pPr>
        <w:pStyle w:val="CEPABullets"/>
      </w:pPr>
      <w:r w:rsidRPr="000A76AE">
        <w:rPr>
          <w:b/>
        </w:rPr>
        <w:t>Affordability:</w:t>
      </w:r>
      <w:r>
        <w:t xml:space="preserve"> </w:t>
      </w:r>
      <w:r w:rsidR="0025721B">
        <w:t>L</w:t>
      </w:r>
      <w:r>
        <w:t xml:space="preserve">owest sustainable price </w:t>
      </w:r>
      <w:r w:rsidR="0025721B">
        <w:t>for the technology that</w:t>
      </w:r>
      <w:r>
        <w:t xml:space="preserve"> does not impose an unreasonable financial burden on governments, donors, individuals or other payers, with a view to increasing access for the </w:t>
      </w:r>
      <w:r w:rsidR="008E278A">
        <w:t>under-served</w:t>
      </w:r>
      <w:r>
        <w:t xml:space="preserve">. </w:t>
      </w:r>
    </w:p>
    <w:p w14:paraId="78AEB56E" w14:textId="53F55A84" w:rsidR="000A223F" w:rsidRDefault="000A223F" w:rsidP="000A223F">
      <w:pPr>
        <w:pStyle w:val="CEPAReportText"/>
      </w:pPr>
      <w:r>
        <w:t xml:space="preserve">We consider the extent to which the project has contributed to addressing each of </w:t>
      </w:r>
      <w:r w:rsidR="00D510C6">
        <w:t>these</w:t>
      </w:r>
      <w:r>
        <w:t xml:space="preserve"> access barriers, focusing on VL monitoring, which has been the main basis of this project.</w:t>
      </w:r>
      <w:r w:rsidR="007D3A71">
        <w:t xml:space="preserve"> We </w:t>
      </w:r>
      <w:r w:rsidR="00E43D82">
        <w:t xml:space="preserve">present the evidence base for all of the above-noted access barriers, noting that the project may have impacted some more than others. Further, we </w:t>
      </w:r>
      <w:r w:rsidR="007D3A71">
        <w:t xml:space="preserve">highlight that several aspects presented below have been discussed in previous sections of the report, so here we bring the analysis together to present </w:t>
      </w:r>
      <w:r w:rsidR="00997C27">
        <w:t>our overall findings</w:t>
      </w:r>
      <w:r w:rsidR="007D3A71">
        <w:t xml:space="preserve">. </w:t>
      </w:r>
    </w:p>
    <w:p w14:paraId="6173366B" w14:textId="6C44155B" w:rsidR="000A223F" w:rsidRDefault="000A223F" w:rsidP="000A223F">
      <w:pPr>
        <w:pStyle w:val="CEPAReportText"/>
      </w:pPr>
      <w:r>
        <w:t xml:space="preserve">Our conclusion is that while the MSF project has contributed to addressing </w:t>
      </w:r>
      <w:r w:rsidR="00D510C6">
        <w:t>all</w:t>
      </w:r>
      <w:r>
        <w:t xml:space="preserve"> of these access barriers, its fundamental contribution has been in terms of supporting demand</w:t>
      </w:r>
      <w:r w:rsidR="00D854AF">
        <w:t xml:space="preserve"> for VL monitoring</w:t>
      </w:r>
      <w:r w:rsidR="00D510C6">
        <w:t xml:space="preserve">, and also </w:t>
      </w:r>
      <w:r w:rsidR="00CB1DC8">
        <w:t>supply and delivery of diagnostic platforms on a pilot scale</w:t>
      </w:r>
      <w:r>
        <w:t xml:space="preserve">. </w:t>
      </w:r>
    </w:p>
    <w:p w14:paraId="58F9D228" w14:textId="77777777" w:rsidR="000A223F" w:rsidRDefault="000A223F" w:rsidP="00D22156">
      <w:pPr>
        <w:pStyle w:val="Heading3"/>
      </w:pPr>
      <w:r>
        <w:t>Demand and adoption</w:t>
      </w:r>
    </w:p>
    <w:p w14:paraId="548D0BC7" w14:textId="20310359" w:rsidR="00120CFF" w:rsidRDefault="00120CFF" w:rsidP="00120CFF">
      <w:pPr>
        <w:pStyle w:val="CEPAReportText"/>
      </w:pPr>
      <w:r>
        <w:t>The project has had an important impact in terms of fostering demand, through contributions to global and national policy development (although the extent has varied by country), alongside working with CSOs, health worker and beneficiaries on ground. We consider each in turn below.</w:t>
      </w:r>
    </w:p>
    <w:p w14:paraId="5D8E938D" w14:textId="77777777" w:rsidR="00997C27" w:rsidRDefault="00997C27" w:rsidP="00997C27">
      <w:pPr>
        <w:pStyle w:val="Heading4"/>
      </w:pPr>
      <w:r>
        <w:t>Global policy development</w:t>
      </w:r>
    </w:p>
    <w:p w14:paraId="41BF808F" w14:textId="77777777" w:rsidR="00997C27" w:rsidRDefault="00997C27" w:rsidP="00997C27">
      <w:pPr>
        <w:pStyle w:val="CEPAReportText"/>
      </w:pPr>
      <w:bookmarkStart w:id="380" w:name="_Hlk509232570"/>
      <w:r>
        <w:t>Our discussions with WHO have indicated that the project has contributed to the development and updates to the WHO guidelines for ART treatment and monitoring, alongside contributions from a range of other sources.</w:t>
      </w:r>
      <w:r>
        <w:rPr>
          <w:rStyle w:val="FootnoteReference"/>
        </w:rPr>
        <w:footnoteReference w:id="71"/>
      </w:r>
      <w:r>
        <w:t xml:space="preserve"> MSF is viewed as the first implementer to progress with VL testing (“trailblazers”), particularly from the clinical perspective, and hence have had an important contribution to global policy development. </w:t>
      </w:r>
    </w:p>
    <w:p w14:paraId="6AB3BCD9" w14:textId="1115EDD9" w:rsidR="00997C27" w:rsidRDefault="00997C27" w:rsidP="00997C27">
      <w:pPr>
        <w:pStyle w:val="CEPAReportText"/>
      </w:pPr>
      <w:r>
        <w:t>In particular, data generated through the project was helpful for WHO in identifying strategies to tackle ART failure and revising their ARV guidelines accordingly (these were updated in 2015, published in 2016)</w:t>
      </w:r>
      <w:r w:rsidR="00774B01">
        <w:t xml:space="preserve">. This </w:t>
      </w:r>
      <w:r>
        <w:t>includ</w:t>
      </w:r>
      <w:r w:rsidR="00774B01">
        <w:t xml:space="preserve">ed MSF’s work reviewing the performance of DBS specimens which contributed to WHO’s understanding of the best threshold for DBS and created a consistent threshold across specimens. </w:t>
      </w:r>
      <w:r>
        <w:t xml:space="preserve">In addition, </w:t>
      </w:r>
      <w:r w:rsidR="002235F9">
        <w:t xml:space="preserve">WHO noted </w:t>
      </w:r>
      <w:r w:rsidR="00774B01">
        <w:t xml:space="preserve">MSF’s work </w:t>
      </w:r>
      <w:r w:rsidR="002235F9">
        <w:t xml:space="preserve">with regards to </w:t>
      </w:r>
      <w:r w:rsidR="00774B01">
        <w:t xml:space="preserve">reviewing </w:t>
      </w:r>
      <w:r w:rsidR="002235F9">
        <w:t>the WHO algo</w:t>
      </w:r>
      <w:r w:rsidR="00EA3883">
        <w:t>ri</w:t>
      </w:r>
      <w:r w:rsidR="00774B01">
        <w:t xml:space="preserve">thm. This included </w:t>
      </w:r>
      <w:r w:rsidR="00774B01" w:rsidRPr="00774B01">
        <w:t>MSF’s programmatic implementation work and studies</w:t>
      </w:r>
      <w:r w:rsidR="00774B01">
        <w:t xml:space="preserve"> which reviewed the following:</w:t>
      </w:r>
      <w:r w:rsidR="00EA3883">
        <w:t xml:space="preserve"> </w:t>
      </w:r>
      <w:r w:rsidR="00774B01">
        <w:t xml:space="preserve">(i) reducing the threshold for VL failure; </w:t>
      </w:r>
      <w:r w:rsidR="00EA3883">
        <w:t>(i</w:t>
      </w:r>
      <w:r w:rsidR="00774B01">
        <w:t>i</w:t>
      </w:r>
      <w:r w:rsidR="002235F9">
        <w:t xml:space="preserve">) switching patients to </w:t>
      </w:r>
      <w:r w:rsidR="00EA3883">
        <w:t xml:space="preserve">second-line </w:t>
      </w:r>
      <w:r w:rsidR="002235F9">
        <w:t>after a first elevated VL</w:t>
      </w:r>
      <w:r w:rsidR="00774B01">
        <w:t xml:space="preserve"> test result</w:t>
      </w:r>
      <w:r w:rsidR="002235F9">
        <w:t>; (</w:t>
      </w:r>
      <w:r w:rsidR="00EA3883">
        <w:t>ii</w:t>
      </w:r>
      <w:r w:rsidR="002235F9">
        <w:t xml:space="preserve">)  implementation of POC VL to determine if </w:t>
      </w:r>
      <w:r w:rsidR="00774B01">
        <w:t xml:space="preserve">it is </w:t>
      </w:r>
      <w:r w:rsidR="002235F9">
        <w:t>supportive of faster clinical decisions and switching to second-line</w:t>
      </w:r>
      <w:r w:rsidR="00774B01">
        <w:t xml:space="preserve"> treatment</w:t>
      </w:r>
      <w:r w:rsidR="002235F9">
        <w:t xml:space="preserve">; </w:t>
      </w:r>
      <w:r w:rsidR="00EA3883">
        <w:t xml:space="preserve">and </w:t>
      </w:r>
      <w:r w:rsidR="002235F9">
        <w:t>(i</w:t>
      </w:r>
      <w:r w:rsidR="00EA3883">
        <w:t>ii</w:t>
      </w:r>
      <w:r w:rsidR="002235F9">
        <w:t xml:space="preserve">) determining if a more rapid second VL test supports more efficient switching to second-line. </w:t>
      </w:r>
      <w:r>
        <w:t xml:space="preserve">WHO </w:t>
      </w:r>
      <w:r w:rsidR="00EA3883">
        <w:t xml:space="preserve">also </w:t>
      </w:r>
      <w:r>
        <w:t>noted that MSF</w:t>
      </w:r>
      <w:r w:rsidR="00774B01">
        <w:t>’s work</w:t>
      </w:r>
      <w:r>
        <w:t xml:space="preserve"> contributed to </w:t>
      </w:r>
      <w:r w:rsidRPr="002F08E3">
        <w:t xml:space="preserve">best practices, both related to laboratory work </w:t>
      </w:r>
      <w:r>
        <w:t>on</w:t>
      </w:r>
      <w:r w:rsidRPr="002F08E3">
        <w:t xml:space="preserve"> VL and to programmatic considerations in routine VL monitoring.</w:t>
      </w:r>
    </w:p>
    <w:p w14:paraId="0C60B4F1" w14:textId="77777777" w:rsidR="00997C27" w:rsidRDefault="00997C27" w:rsidP="00997C27">
      <w:pPr>
        <w:pStyle w:val="CEPAReportText"/>
      </w:pPr>
      <w:r>
        <w:t xml:space="preserve">Another point flagged by WHO was the important contribution of the project in flagging the drastic reduction in CD4 testing services after the change in WHO guidelines, to the detriment of complex HIV cases that still require this testing. </w:t>
      </w:r>
    </w:p>
    <w:bookmarkEnd w:id="380"/>
    <w:p w14:paraId="750A2870" w14:textId="77777777" w:rsidR="00997C27" w:rsidRDefault="00997C27" w:rsidP="00997C27">
      <w:pPr>
        <w:pStyle w:val="Heading4"/>
      </w:pPr>
      <w:r>
        <w:t>National policy and guideline development</w:t>
      </w:r>
    </w:p>
    <w:p w14:paraId="21BE34F2" w14:textId="2D171173" w:rsidR="00997C27" w:rsidRDefault="00997C27" w:rsidP="00997C27">
      <w:pPr>
        <w:pStyle w:val="CEPAReportText"/>
      </w:pPr>
      <w:r>
        <w:t xml:space="preserve">As noted in Section 3.1.2, a number of stakeholders viewed the project timeline as very ambitious to impact national policy and guidelines. That said, MSF has played an important role in national policy development relating to VL testing, through participation in the TWGs and engagement with policymakers. For example, the End of Project Report notes policy influence by MSF in </w:t>
      </w:r>
      <w:r w:rsidRPr="001B4F07">
        <w:t xml:space="preserve">terms of shaping national or provincial HIV treatment guidelines and/or VL scale-up plans </w:t>
      </w:r>
      <w:r>
        <w:t xml:space="preserve">in </w:t>
      </w:r>
      <w:r w:rsidRPr="00E72D1D">
        <w:t>DRC</w:t>
      </w:r>
      <w:r>
        <w:t>,</w:t>
      </w:r>
      <w:r w:rsidRPr="00E72D1D">
        <w:t xml:space="preserve"> Malawi</w:t>
      </w:r>
      <w:r>
        <w:t>,</w:t>
      </w:r>
      <w:r w:rsidRPr="00E72D1D">
        <w:t xml:space="preserve"> Mozambique</w:t>
      </w:r>
      <w:r>
        <w:t>,</w:t>
      </w:r>
      <w:r w:rsidRPr="00E72D1D">
        <w:t xml:space="preserve"> Western Cape/ South Africa on EID</w:t>
      </w:r>
      <w:r>
        <w:t>,</w:t>
      </w:r>
      <w:r w:rsidRPr="00E72D1D">
        <w:t xml:space="preserve"> Zimbabwe</w:t>
      </w:r>
      <w:r>
        <w:t>.</w:t>
      </w:r>
      <w:r>
        <w:rPr>
          <w:rStyle w:val="FootnoteReference"/>
        </w:rPr>
        <w:footnoteReference w:id="72"/>
      </w:r>
      <w:r>
        <w:t xml:space="preserve"> </w:t>
      </w:r>
    </w:p>
    <w:p w14:paraId="1901DCE4" w14:textId="77777777" w:rsidR="00997C27" w:rsidRDefault="00997C27" w:rsidP="00997C27">
      <w:pPr>
        <w:pStyle w:val="CEPAReportText"/>
      </w:pPr>
      <w:r>
        <w:t xml:space="preserve">Our review suggests that </w:t>
      </w:r>
      <w:bookmarkStart w:id="381" w:name="_Hlk506468282"/>
      <w:r>
        <w:t xml:space="preserve">the impact of MSF’s work has varied by country, depending on the extent of engagement by MSF with policymakers. </w:t>
      </w:r>
      <w:bookmarkEnd w:id="381"/>
      <w:r>
        <w:t>Table 4.1 presents the main aspects of policy that were impacted through work in Malawi and Zimbabwe. While there were several aspects demonstrated in the project sites that were incorporated into national policy, the impact has been much more substantial in Zimbabwe, where MSF was a front runner and primary supporter for VL testing for a number of years and worked closely with government. More limited engagement with government in Chiradzulu has been cited as one of the reasons for the lack of uptake of the routine testing model from the MSF project in that site.</w:t>
      </w:r>
    </w:p>
    <w:p w14:paraId="7783DA69" w14:textId="77777777" w:rsidR="00997C27" w:rsidRPr="00E72D1D" w:rsidRDefault="00997C27" w:rsidP="00997C27">
      <w:pPr>
        <w:pStyle w:val="CEPADiagramLabel"/>
      </w:pPr>
      <w:r>
        <w:t>Table 4.1: Policy impact in Malawi and Zimbabwe</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004"/>
        <w:gridCol w:w="3006"/>
        <w:gridCol w:w="3006"/>
      </w:tblGrid>
      <w:tr w:rsidR="00997C27" w14:paraId="796D2499" w14:textId="77777777" w:rsidTr="007518AA">
        <w:trPr>
          <w:tblHeader/>
        </w:trPr>
        <w:tc>
          <w:tcPr>
            <w:tcW w:w="1666" w:type="pct"/>
            <w:shd w:val="solid" w:color="4B86CD" w:fill="auto"/>
          </w:tcPr>
          <w:p w14:paraId="185EE835" w14:textId="77777777" w:rsidR="00997C27" w:rsidRPr="00E72D1D" w:rsidRDefault="00997C27" w:rsidP="007518AA">
            <w:pPr>
              <w:pStyle w:val="CEPATabletext"/>
              <w:rPr>
                <w:b/>
                <w:color w:val="FFFFFF"/>
              </w:rPr>
            </w:pPr>
            <w:r>
              <w:rPr>
                <w:b/>
                <w:color w:val="FFFFFF"/>
              </w:rPr>
              <w:t>Malawi (Chiradzulu)</w:t>
            </w:r>
          </w:p>
        </w:tc>
        <w:tc>
          <w:tcPr>
            <w:tcW w:w="1667" w:type="pct"/>
            <w:shd w:val="solid" w:color="4B86CD" w:fill="auto"/>
          </w:tcPr>
          <w:p w14:paraId="0BFEE8B0" w14:textId="77777777" w:rsidR="00997C27" w:rsidRPr="00E72D1D" w:rsidRDefault="00997C27" w:rsidP="007518AA">
            <w:pPr>
              <w:pStyle w:val="CEPATabletext"/>
              <w:rPr>
                <w:b/>
                <w:color w:val="FFFFFF"/>
              </w:rPr>
            </w:pPr>
            <w:r>
              <w:rPr>
                <w:b/>
                <w:color w:val="FFFFFF"/>
              </w:rPr>
              <w:t>Malawi (Thyolo)</w:t>
            </w:r>
          </w:p>
        </w:tc>
        <w:tc>
          <w:tcPr>
            <w:tcW w:w="1667" w:type="pct"/>
            <w:shd w:val="solid" w:color="4B86CD" w:fill="auto"/>
          </w:tcPr>
          <w:p w14:paraId="4D315A97" w14:textId="77777777" w:rsidR="00997C27" w:rsidRPr="00E72D1D" w:rsidRDefault="00997C27" w:rsidP="007518AA">
            <w:pPr>
              <w:pStyle w:val="CEPATabletext"/>
              <w:rPr>
                <w:b/>
                <w:color w:val="FFFFFF"/>
              </w:rPr>
            </w:pPr>
            <w:r>
              <w:rPr>
                <w:b/>
                <w:color w:val="FFFFFF"/>
              </w:rPr>
              <w:t>Zimbabwe</w:t>
            </w:r>
          </w:p>
        </w:tc>
      </w:tr>
      <w:tr w:rsidR="00997C27" w14:paraId="4E998E1E" w14:textId="77777777" w:rsidTr="007518AA">
        <w:tc>
          <w:tcPr>
            <w:tcW w:w="1666" w:type="pct"/>
          </w:tcPr>
          <w:p w14:paraId="6B22084D" w14:textId="77777777" w:rsidR="00997C27" w:rsidRDefault="00997C27" w:rsidP="00846486">
            <w:pPr>
              <w:pStyle w:val="CEPATabletext"/>
              <w:numPr>
                <w:ilvl w:val="0"/>
                <w:numId w:val="17"/>
              </w:numPr>
              <w:ind w:left="157" w:hanging="180"/>
            </w:pPr>
            <w:r>
              <w:t>POC targeted testing in the instances w</w:t>
            </w:r>
            <w:r w:rsidRPr="0095719E">
              <w:t>hen clinical or virological failure is suspected</w:t>
            </w:r>
            <w:r>
              <w:t xml:space="preserve"> for PLHIV, for adolescents and children (draft)</w:t>
            </w:r>
            <w:r>
              <w:rPr>
                <w:rStyle w:val="FootnoteReference"/>
              </w:rPr>
              <w:footnoteReference w:id="73"/>
            </w:r>
            <w:r>
              <w:t xml:space="preserve"> </w:t>
            </w:r>
          </w:p>
          <w:p w14:paraId="13A56298" w14:textId="77777777" w:rsidR="00997C27" w:rsidRDefault="00997C27" w:rsidP="00846486">
            <w:pPr>
              <w:pStyle w:val="CEPATabletext"/>
              <w:numPr>
                <w:ilvl w:val="0"/>
                <w:numId w:val="17"/>
              </w:numPr>
              <w:ind w:left="157" w:hanging="180"/>
            </w:pPr>
            <w:r>
              <w:t xml:space="preserve">Fast track refills model </w:t>
            </w:r>
          </w:p>
        </w:tc>
        <w:tc>
          <w:tcPr>
            <w:tcW w:w="1667" w:type="pct"/>
          </w:tcPr>
          <w:p w14:paraId="4AC414FE" w14:textId="77777777" w:rsidR="00997C27" w:rsidRDefault="00997C27" w:rsidP="00846486">
            <w:pPr>
              <w:pStyle w:val="CEPATabletext"/>
              <w:numPr>
                <w:ilvl w:val="0"/>
                <w:numId w:val="17"/>
              </w:numPr>
              <w:ind w:left="191" w:hanging="191"/>
            </w:pPr>
            <w:r>
              <w:t>Finger prick DBS testing for routine VL testing</w:t>
            </w:r>
            <w:r>
              <w:rPr>
                <w:rStyle w:val="FootnoteReference"/>
              </w:rPr>
              <w:footnoteReference w:id="74"/>
            </w:r>
            <w:r>
              <w:t xml:space="preserve"> </w:t>
            </w:r>
          </w:p>
          <w:p w14:paraId="5F6641D1" w14:textId="77777777" w:rsidR="00997C27" w:rsidRDefault="00997C27" w:rsidP="00846486">
            <w:pPr>
              <w:pStyle w:val="CEPATabletext"/>
              <w:numPr>
                <w:ilvl w:val="0"/>
                <w:numId w:val="17"/>
              </w:numPr>
              <w:ind w:left="191" w:hanging="191"/>
            </w:pPr>
            <w:r>
              <w:t>CAGs model</w:t>
            </w:r>
          </w:p>
          <w:p w14:paraId="70F7DE31" w14:textId="77777777" w:rsidR="00997C27" w:rsidRDefault="00997C27" w:rsidP="00846486">
            <w:pPr>
              <w:pStyle w:val="CEPATabletext"/>
              <w:numPr>
                <w:ilvl w:val="0"/>
                <w:numId w:val="17"/>
              </w:numPr>
              <w:ind w:left="191" w:hanging="191"/>
            </w:pPr>
            <w:r>
              <w:t>Task shifting for DBS sample collection to lower cadres and for second line initiation beyond medical doctors (2015)</w:t>
            </w:r>
          </w:p>
        </w:tc>
        <w:tc>
          <w:tcPr>
            <w:tcW w:w="1667" w:type="pct"/>
          </w:tcPr>
          <w:p w14:paraId="7013F3E3" w14:textId="77777777" w:rsidR="00997C27" w:rsidRDefault="00997C27" w:rsidP="007518AA">
            <w:pPr>
              <w:pStyle w:val="CEPATabletext"/>
            </w:pPr>
            <w:r>
              <w:t>Significant input for:</w:t>
            </w:r>
          </w:p>
          <w:p w14:paraId="48802F7E" w14:textId="77777777" w:rsidR="00997C27" w:rsidRDefault="00997C27" w:rsidP="00846486">
            <w:pPr>
              <w:pStyle w:val="CEPATabletext"/>
              <w:numPr>
                <w:ilvl w:val="0"/>
                <w:numId w:val="17"/>
              </w:numPr>
              <w:ind w:left="191" w:hanging="191"/>
            </w:pPr>
            <w:r>
              <w:t>National HIV VL Scale up Plan (2015-2018)</w:t>
            </w:r>
            <w:r>
              <w:rPr>
                <w:rStyle w:val="FootnoteReference"/>
              </w:rPr>
              <w:footnoteReference w:id="75"/>
            </w:r>
            <w:r w:rsidRPr="00694DAB">
              <w:t xml:space="preserve"> </w:t>
            </w:r>
            <w:r>
              <w:rPr>
                <w:rStyle w:val="FootnoteReference"/>
              </w:rPr>
              <w:footnoteReference w:id="76"/>
            </w:r>
          </w:p>
          <w:p w14:paraId="78AAE17E" w14:textId="77777777" w:rsidR="00997C27" w:rsidRDefault="00997C27" w:rsidP="00846486">
            <w:pPr>
              <w:pStyle w:val="CEPATabletext"/>
              <w:numPr>
                <w:ilvl w:val="0"/>
                <w:numId w:val="17"/>
              </w:numPr>
              <w:ind w:left="191" w:hanging="191"/>
            </w:pPr>
            <w:r w:rsidRPr="00694DAB">
              <w:t xml:space="preserve">VL component in </w:t>
            </w:r>
            <w:r>
              <w:t xml:space="preserve">Operational and Service Delivery Manual </w:t>
            </w:r>
            <w:r w:rsidRPr="0010080D">
              <w:t xml:space="preserve">for the Prevention, Care and Treatment </w:t>
            </w:r>
            <w:r>
              <w:t>for HIV (2015)</w:t>
            </w:r>
          </w:p>
        </w:tc>
      </w:tr>
      <w:tr w:rsidR="00997C27" w14:paraId="1A36C4ED" w14:textId="77777777" w:rsidTr="007518AA">
        <w:tc>
          <w:tcPr>
            <w:tcW w:w="3333" w:type="pct"/>
            <w:gridSpan w:val="2"/>
          </w:tcPr>
          <w:p w14:paraId="73EDEBBD" w14:textId="0D8695E8" w:rsidR="00997C27" w:rsidRDefault="00EA5AB6" w:rsidP="00846486">
            <w:pPr>
              <w:pStyle w:val="CEPATabletext"/>
              <w:numPr>
                <w:ilvl w:val="0"/>
                <w:numId w:val="17"/>
              </w:numPr>
              <w:ind w:left="157" w:hanging="180"/>
            </w:pPr>
            <w:r>
              <w:t>Regimen</w:t>
            </w:r>
            <w:r w:rsidR="00997C27">
              <w:t xml:space="preserve"> switch to </w:t>
            </w:r>
            <w:r w:rsidR="00093AAF">
              <w:t>second-line treatment</w:t>
            </w:r>
            <w:r w:rsidR="00997C27">
              <w:t xml:space="preserve"> to be made after two, instead of three high VL test results, and for the cut off to be &gt;1000ml/copies </w:t>
            </w:r>
          </w:p>
          <w:p w14:paraId="09799F82" w14:textId="77777777" w:rsidR="00997C27" w:rsidRDefault="00997C27" w:rsidP="00846486">
            <w:pPr>
              <w:pStyle w:val="CEPATabletext"/>
              <w:numPr>
                <w:ilvl w:val="0"/>
                <w:numId w:val="17"/>
              </w:numPr>
              <w:ind w:left="157" w:hanging="180"/>
            </w:pPr>
            <w:r>
              <w:t>Expected that VL testing to be changed from every two years to yearly in 2018</w:t>
            </w:r>
          </w:p>
        </w:tc>
        <w:tc>
          <w:tcPr>
            <w:tcW w:w="1667" w:type="pct"/>
            <w:shd w:val="clear" w:color="auto" w:fill="A6A6A6" w:themeFill="background1" w:themeFillShade="A6"/>
          </w:tcPr>
          <w:p w14:paraId="19E8FCCB" w14:textId="77777777" w:rsidR="00997C27" w:rsidRDefault="00997C27" w:rsidP="007518AA">
            <w:pPr>
              <w:pStyle w:val="CEPATabletext"/>
            </w:pPr>
          </w:p>
        </w:tc>
      </w:tr>
    </w:tbl>
    <w:p w14:paraId="422D6F05" w14:textId="77777777" w:rsidR="00997C27" w:rsidRDefault="00997C27" w:rsidP="00997C27">
      <w:pPr>
        <w:pStyle w:val="CEPAReportText"/>
      </w:pPr>
      <w:r>
        <w:t xml:space="preserve">With regards to </w:t>
      </w:r>
      <w:r w:rsidRPr="00EF7628">
        <w:t>Zimbabwe</w:t>
      </w:r>
      <w:r>
        <w:t xml:space="preserve">, respondents noted, </w:t>
      </w:r>
      <w:r w:rsidRPr="00407A92">
        <w:t>“</w:t>
      </w:r>
      <w:r>
        <w:t>w</w:t>
      </w:r>
      <w:r w:rsidRPr="00407A92">
        <w:t xml:space="preserve">hen the project started, there were a lot of gaps. The lessons learnt and innovative ideas from </w:t>
      </w:r>
      <w:r>
        <w:t>M</w:t>
      </w:r>
      <w:r w:rsidRPr="00407A92">
        <w:t xml:space="preserve">SF enabled the production of the National VL Scale-up Plan” </w:t>
      </w:r>
      <w:r>
        <w:t>and “t</w:t>
      </w:r>
      <w:r w:rsidRPr="00694DAB">
        <w:t>heir data and results have given the government the confidence to say that we, the Government, can also implement this programme”</w:t>
      </w:r>
      <w:r>
        <w:t xml:space="preserve">. In </w:t>
      </w:r>
      <w:r w:rsidRPr="00EF7628">
        <w:t>Malawi</w:t>
      </w:r>
      <w:r>
        <w:t xml:space="preserve">, the direct influence of the MSF project has not been as pronounced as in Zimbabwe given that other partners were working in VL during the project and also a degree of limited engagement by MSF. We also note that in some instances, recommendations by MSF have not been taken forward in policy such as (i) preferential rental agreement procurement model; (ii) public-private semi-centralised model as recommended in the </w:t>
      </w:r>
      <w:r w:rsidRPr="00BC734F">
        <w:rPr>
          <w:i/>
        </w:rPr>
        <w:t>INCLUSIVE</w:t>
      </w:r>
      <w:r>
        <w:t xml:space="preserve"> report; (iii) routine POC testing (although targeted POC testing was taken forward). </w:t>
      </w:r>
    </w:p>
    <w:p w14:paraId="7FD429F2" w14:textId="7DCD3272" w:rsidR="00997C27" w:rsidRDefault="00997C27" w:rsidP="005B16B4">
      <w:pPr>
        <w:pStyle w:val="CEPAReportText"/>
      </w:pPr>
      <w:r>
        <w:t>In addition, in both Malawi and Zimbabwe, various tools designed by MSF have been adopted such as h</w:t>
      </w:r>
      <w:r w:rsidRPr="00C97810">
        <w:t xml:space="preserve">igh VL </w:t>
      </w:r>
      <w:r>
        <w:t xml:space="preserve">alerts, </w:t>
      </w:r>
      <w:r w:rsidRPr="00C97810">
        <w:t>VL forms</w:t>
      </w:r>
      <w:r>
        <w:t>, an</w:t>
      </w:r>
      <w:r w:rsidRPr="00C97810">
        <w:t xml:space="preserve">d various M&amp;E tools to support the government during and following project </w:t>
      </w:r>
      <w:r w:rsidR="003C6684">
        <w:t>hand-over</w:t>
      </w:r>
      <w:r w:rsidRPr="00C97810">
        <w:t xml:space="preserve"> and this has contributed to enhanced national capacity</w:t>
      </w:r>
      <w:r>
        <w:t>.</w:t>
      </w:r>
    </w:p>
    <w:p w14:paraId="29F31362" w14:textId="6E7038EB" w:rsidR="00120CFF" w:rsidRPr="00120CFF" w:rsidRDefault="00120CFF" w:rsidP="00120CFF">
      <w:pPr>
        <w:pStyle w:val="Heading4"/>
      </w:pPr>
      <w:r>
        <w:t xml:space="preserve">Demand creation through engagement with CSOs, health workers and others </w:t>
      </w:r>
    </w:p>
    <w:p w14:paraId="18AC5AE3" w14:textId="22060D8E" w:rsidR="00120CFF" w:rsidRPr="00120CFF" w:rsidRDefault="00120CFF" w:rsidP="00120CFF">
      <w:pPr>
        <w:pStyle w:val="CEPAReportText"/>
      </w:pPr>
      <w:r w:rsidRPr="00120CFF">
        <w:t>Through our global and country level consultations, we understand the following work of the project helped facilitate demand</w:t>
      </w:r>
      <w:r w:rsidR="00F20606">
        <w:t xml:space="preserve"> amongst different stakeholders</w:t>
      </w:r>
      <w:r w:rsidRPr="00120CFF">
        <w:t xml:space="preserve">: </w:t>
      </w:r>
    </w:p>
    <w:p w14:paraId="75211797" w14:textId="1BDF3D3C" w:rsidR="00120CFF" w:rsidRPr="00120CFF" w:rsidRDefault="001B3BBE" w:rsidP="00120CFF">
      <w:pPr>
        <w:pStyle w:val="CEPABullets"/>
      </w:pPr>
      <w:r>
        <w:t xml:space="preserve">As </w:t>
      </w:r>
      <w:r w:rsidR="00E62EC6">
        <w:t>previously discussed</w:t>
      </w:r>
      <w:r w:rsidR="00A25833">
        <w:t xml:space="preserve"> </w:t>
      </w:r>
      <w:r w:rsidR="00805854">
        <w:t>w</w:t>
      </w:r>
      <w:r w:rsidR="00A25833">
        <w:t xml:space="preserve">ith regards to </w:t>
      </w:r>
      <w:r w:rsidR="00805854">
        <w:t xml:space="preserve">engagement with </w:t>
      </w:r>
      <w:r w:rsidR="00805854" w:rsidRPr="00846486">
        <w:rPr>
          <w:b/>
        </w:rPr>
        <w:t>CSOs</w:t>
      </w:r>
      <w:r w:rsidR="00E62EC6">
        <w:t xml:space="preserve">, </w:t>
      </w:r>
      <w:r w:rsidR="00A25833">
        <w:t>MSF has worked</w:t>
      </w:r>
      <w:r w:rsidR="00805854">
        <w:t xml:space="preserve"> directly with CSOs and community groups (such as thr</w:t>
      </w:r>
      <w:r w:rsidR="00AE6EA3">
        <w:t>o</w:t>
      </w:r>
      <w:r w:rsidR="00805854">
        <w:t xml:space="preserve">ugh establishing the CAGs) as well as </w:t>
      </w:r>
      <w:r w:rsidR="000C1B7B">
        <w:t xml:space="preserve">through ITPC’s advocacy work. </w:t>
      </w:r>
      <w:r w:rsidR="00AE6EA3">
        <w:t>The degree and impact of this work has varied by country</w:t>
      </w:r>
      <w:r w:rsidR="00A836D9">
        <w:t xml:space="preserve">. </w:t>
      </w:r>
      <w:r w:rsidR="000C1B7B">
        <w:t xml:space="preserve"> </w:t>
      </w:r>
    </w:p>
    <w:p w14:paraId="27276A3E" w14:textId="4B224069" w:rsidR="00120CFF" w:rsidRDefault="00120CFF" w:rsidP="00120CFF">
      <w:pPr>
        <w:pStyle w:val="CEPABullets"/>
      </w:pPr>
      <w:r w:rsidRPr="00120CFF">
        <w:t>A key finding of the project was the need to work with clinicians, health workers, and PLHIV in order to create awareness and stimulate demand.</w:t>
      </w:r>
      <w:r w:rsidRPr="00120CFF">
        <w:rPr>
          <w:rStyle w:val="FootnoteReference"/>
        </w:rPr>
        <w:footnoteReference w:id="77"/>
      </w:r>
      <w:r w:rsidRPr="00120CFF">
        <w:t xml:space="preserve"> The project has supported capacity building and training of </w:t>
      </w:r>
      <w:r w:rsidRPr="00120CFF">
        <w:rPr>
          <w:b/>
        </w:rPr>
        <w:t>health workers</w:t>
      </w:r>
      <w:r w:rsidRPr="00120CFF">
        <w:t>, lab technicians and clinical staff across health centres, reference laboratories, district hospitals, etc., which has enabled countries to introduce VL testing, and stimulate demand amongst HCWs.</w:t>
      </w:r>
      <w:r w:rsidRPr="00120CFF">
        <w:rPr>
          <w:rStyle w:val="FootnoteReference"/>
        </w:rPr>
        <w:footnoteReference w:id="78"/>
      </w:r>
      <w:r w:rsidRPr="00120CFF">
        <w:t xml:space="preserve"> </w:t>
      </w:r>
    </w:p>
    <w:p w14:paraId="0CB576B3" w14:textId="394FF1FC" w:rsidR="008D1099" w:rsidRPr="00120CFF" w:rsidRDefault="004F74CF" w:rsidP="000F77FD">
      <w:pPr>
        <w:pStyle w:val="CEPABullets"/>
      </w:pPr>
      <w:r>
        <w:t>D</w:t>
      </w:r>
      <w:r w:rsidR="008D1099" w:rsidRPr="008D1099">
        <w:t xml:space="preserve">emand </w:t>
      </w:r>
      <w:r>
        <w:t xml:space="preserve">has been stimulated amongst </w:t>
      </w:r>
      <w:r w:rsidRPr="00846486">
        <w:rPr>
          <w:b/>
        </w:rPr>
        <w:t>beneficiaries</w:t>
      </w:r>
      <w:r>
        <w:t xml:space="preserve"> through the activi</w:t>
      </w:r>
      <w:r w:rsidR="00A075BF">
        <w:t>ti</w:t>
      </w:r>
      <w:r>
        <w:t>es noted above</w:t>
      </w:r>
      <w:r w:rsidR="00270EA8">
        <w:t>. In addition,</w:t>
      </w:r>
      <w:r>
        <w:t xml:space="preserve"> </w:t>
      </w:r>
      <w:r w:rsidR="009441CB">
        <w:t xml:space="preserve">demand has been stimulated </w:t>
      </w:r>
      <w:r w:rsidR="00A075BF">
        <w:t xml:space="preserve">because </w:t>
      </w:r>
      <w:r w:rsidR="007F4650">
        <w:t xml:space="preserve">VL testing </w:t>
      </w:r>
      <w:r w:rsidR="008D1099" w:rsidRPr="008D1099">
        <w:t xml:space="preserve">services </w:t>
      </w:r>
      <w:r w:rsidR="007F4650">
        <w:t>ha</w:t>
      </w:r>
      <w:r w:rsidR="009441CB">
        <w:t>ve</w:t>
      </w:r>
      <w:r w:rsidR="007F4650">
        <w:t xml:space="preserve"> been brought </w:t>
      </w:r>
      <w:r w:rsidR="008D1099" w:rsidRPr="008D1099">
        <w:t xml:space="preserve">closer to </w:t>
      </w:r>
      <w:r w:rsidR="00270EA8">
        <w:t>PLHIV</w:t>
      </w:r>
      <w:r w:rsidR="007F4650">
        <w:t xml:space="preserve">, </w:t>
      </w:r>
      <w:r w:rsidR="00C26BB4">
        <w:t>and services have been provided quicker due to reduced TAT</w:t>
      </w:r>
      <w:r w:rsidR="00E64CE6">
        <w:t>, especially in POC sites such as Chiradzulu</w:t>
      </w:r>
      <w:r w:rsidR="008D1099" w:rsidRPr="008D1099">
        <w:t xml:space="preserve">. </w:t>
      </w:r>
    </w:p>
    <w:p w14:paraId="4B5A783B" w14:textId="095A193C" w:rsidR="000A223F" w:rsidRDefault="000A223F" w:rsidP="00997C27">
      <w:pPr>
        <w:pStyle w:val="Heading3"/>
      </w:pPr>
      <w:r>
        <w:t>Supply and delivery</w:t>
      </w:r>
    </w:p>
    <w:p w14:paraId="68C34839" w14:textId="3EB1CA05" w:rsidR="000A223F" w:rsidRDefault="000A223F" w:rsidP="000A223F">
      <w:pPr>
        <w:pStyle w:val="CEPAReportText"/>
      </w:pPr>
      <w:r>
        <w:t xml:space="preserve">In terms of supply and delivery, the project </w:t>
      </w:r>
      <w:r w:rsidR="00F167BF">
        <w:t>has had an impact on a pilot basis as</w:t>
      </w:r>
      <w:r w:rsidR="00EF4062">
        <w:t xml:space="preserve"> </w:t>
      </w:r>
      <w:r>
        <w:t xml:space="preserve">was not set up as a </w:t>
      </w:r>
      <w:r w:rsidR="005A7680">
        <w:t>“</w:t>
      </w:r>
      <w:r>
        <w:t xml:space="preserve">market </w:t>
      </w:r>
      <w:r w:rsidR="004D0695">
        <w:t>creator</w:t>
      </w:r>
      <w:r w:rsidR="005A7680">
        <w:t>”</w:t>
      </w:r>
      <w:r>
        <w:t xml:space="preserve"> project with substantial procurement volumes and </w:t>
      </w:r>
      <w:r w:rsidR="005A7680">
        <w:t>price impact</w:t>
      </w:r>
      <w:r>
        <w:t>.</w:t>
      </w:r>
      <w:r w:rsidR="005A7680">
        <w:rPr>
          <w:rStyle w:val="FootnoteReference"/>
        </w:rPr>
        <w:footnoteReference w:id="79"/>
      </w:r>
      <w:r>
        <w:t xml:space="preserve"> </w:t>
      </w:r>
      <w:r w:rsidR="008608E2">
        <w:t>In particular</w:t>
      </w:r>
      <w:r>
        <w:t>:</w:t>
      </w:r>
    </w:p>
    <w:p w14:paraId="72100A19" w14:textId="5571EAC9" w:rsidR="008608E2" w:rsidRDefault="00E71252" w:rsidP="00F167BF">
      <w:pPr>
        <w:pStyle w:val="CEPABullets"/>
      </w:pPr>
      <w:r w:rsidRPr="00EF4062">
        <w:t>The main thrust of the project has been pilot testing and demonstration of a range of lab-based and POC approaches to VL testing</w:t>
      </w:r>
      <w:r w:rsidR="004D0695">
        <w:t xml:space="preserve"> that have required procurement and delivery of the diagnostic platforms to countries. </w:t>
      </w:r>
    </w:p>
    <w:p w14:paraId="263EDD3E" w14:textId="560962EB" w:rsidR="00E32E44" w:rsidRDefault="00DA1A1E" w:rsidP="00E32E44">
      <w:pPr>
        <w:pStyle w:val="CEPABullets"/>
      </w:pPr>
      <w:r>
        <w:t>A</w:t>
      </w:r>
      <w:r w:rsidR="000A223F">
        <w:t xml:space="preserve">lternate procurement strategies </w:t>
      </w:r>
      <w:r>
        <w:t xml:space="preserve">were demonstrated </w:t>
      </w:r>
      <w:r w:rsidR="000A223F">
        <w:t>for countries</w:t>
      </w:r>
      <w:r>
        <w:t>, such as n</w:t>
      </w:r>
      <w:r w:rsidRPr="00DA1A1E">
        <w:t>egotiating rental agreements for the Abbott platform in Malaw</w:t>
      </w:r>
      <w:r>
        <w:t>i</w:t>
      </w:r>
      <w:r w:rsidR="000A223F" w:rsidDel="00DA1A1E">
        <w:t>.</w:t>
      </w:r>
    </w:p>
    <w:p w14:paraId="673B2B18" w14:textId="77777777" w:rsidR="00CB1DC8" w:rsidRDefault="00CB1DC8" w:rsidP="00CB1DC8">
      <w:pPr>
        <w:pStyle w:val="Heading3"/>
      </w:pPr>
      <w:r>
        <w:t>Innovation and availability</w:t>
      </w:r>
    </w:p>
    <w:p w14:paraId="63F12723" w14:textId="2B612319" w:rsidR="00CB1DC8" w:rsidRDefault="00CB1DC8" w:rsidP="00CB1DC8">
      <w:pPr>
        <w:pStyle w:val="CEPAReportText"/>
      </w:pPr>
      <w:r w:rsidRPr="00F167BF">
        <w:t xml:space="preserve">Whilst not the main area of impact of the project, the project has made a contribution to supporting innovation and availability of diagnostic technologies and models of care for VL monitoring. This has primary been through piloting innovative models of care. </w:t>
      </w:r>
    </w:p>
    <w:p w14:paraId="35774760" w14:textId="77777777" w:rsidR="00CB1DC8" w:rsidRDefault="00CB1DC8" w:rsidP="00CB1DC8">
      <w:pPr>
        <w:pStyle w:val="Heading3"/>
      </w:pPr>
      <w:r>
        <w:t>Quality</w:t>
      </w:r>
    </w:p>
    <w:p w14:paraId="3BFA09AA" w14:textId="77777777" w:rsidR="00CB1DC8" w:rsidRDefault="00CB1DC8" w:rsidP="00CB1DC8">
      <w:pPr>
        <w:pStyle w:val="CEPAReportText"/>
      </w:pPr>
      <w:r>
        <w:t>With the objective of the project being to pilot diagnostic technologies, quality checking and assurance was core to the project. We understand that most technologies used under the project were either WHO pre-qualified or ERP-D approved. Further, certain technologies were piloted in country for expanded purposes (e.g. use of the Abbott platform for DBS) and other platforms have been validated in country such as the GeneXpert for VL and EID testing in DRC and</w:t>
      </w:r>
      <w:r w:rsidRPr="00D31696">
        <w:t xml:space="preserve"> </w:t>
      </w:r>
      <w:r>
        <w:t xml:space="preserve">the </w:t>
      </w:r>
      <w:r w:rsidRPr="00D31696">
        <w:t>SAMBA II for use in Uganda</w:t>
      </w:r>
      <w:r>
        <w:t xml:space="preserve">.  </w:t>
      </w:r>
    </w:p>
    <w:p w14:paraId="025185CB" w14:textId="77777777" w:rsidR="00CB1DC8" w:rsidRDefault="00CB1DC8" w:rsidP="00CB1DC8">
      <w:pPr>
        <w:pStyle w:val="CEPAReportText"/>
      </w:pPr>
      <w:r>
        <w:t xml:space="preserve">Whilst challenges with maintenance support from manufacturers and its availability (especially for POC technologies) has been an ongoing constraint, some improvements have been made during the course of the project such as an increase in in-country engineer presence, after having been highlighted by MSF. </w:t>
      </w:r>
    </w:p>
    <w:p w14:paraId="0C8677B8" w14:textId="77777777" w:rsidR="00CB1DC8" w:rsidRDefault="00CB1DC8" w:rsidP="00CB1DC8">
      <w:pPr>
        <w:pStyle w:val="Heading3"/>
      </w:pPr>
      <w:r>
        <w:t>Affordability</w:t>
      </w:r>
    </w:p>
    <w:p w14:paraId="1DAB7F73" w14:textId="77777777" w:rsidR="00CB1DC8" w:rsidRDefault="00CB1DC8" w:rsidP="00CB1DC8">
      <w:pPr>
        <w:pStyle w:val="CEPAReportText"/>
      </w:pPr>
      <w:r>
        <w:t xml:space="preserve">Affordability continues to be a challenging access barrier for the diagnostic technologies, contributing to its limited sustainability and scalability, as discussed in Section 4.3. </w:t>
      </w:r>
    </w:p>
    <w:p w14:paraId="574532B0" w14:textId="77777777" w:rsidR="00CB1DC8" w:rsidRDefault="00CB1DC8" w:rsidP="00CB1DC8">
      <w:pPr>
        <w:pStyle w:val="CEPAReportText"/>
      </w:pPr>
      <w:r>
        <w:t>The End of Project Report notes that while some manufacturers (e.g. Abbott, BM and Biocentric) have somewhat reduced prices for VL reagents, prices for VL consumables continue to be very high. For example, MSF noted that the manufacturing costs of commonly used laboratory and POC VL tests would be between US$2 (BM) and US$7 (Alere), assuming that 1m tests were produced annually; however prices today range from US$6-20, with the SAMBA POC tests being exceptionally expensive at US$38.</w:t>
      </w:r>
      <w:r>
        <w:rPr>
          <w:rStyle w:val="FootnoteReference"/>
        </w:rPr>
        <w:footnoteReference w:id="80"/>
      </w:r>
      <w:r>
        <w:t xml:space="preserve">  The report further notes reasons for these high prices as lack of demand/ international funding, lack of pooled procurement arrangements and lack of bundled pricing discounts across multi-disease testing platforms. </w:t>
      </w:r>
    </w:p>
    <w:p w14:paraId="0E4906ED" w14:textId="77777777" w:rsidR="004D0695" w:rsidRDefault="00CB1DC8" w:rsidP="00CB1DC8">
      <w:pPr>
        <w:pStyle w:val="CEPAReportText"/>
      </w:pPr>
      <w:r>
        <w:t xml:space="preserve">Indeed, an issue flagged on the project performance was in terms of whether Unitaid or the Unitaid grantees directly may have set up some arrangement for pooled procurement for efficiency and better pricing. The 2013 annual progress report makes reference to some attempts between MSF and CHAI, but we understand these were not taken forward.  This can be viewed as somewhat of a missed opportunity, given that all of these grantees are purchasing the same technologies and working in the same countries. Further, the MSF </w:t>
      </w:r>
      <w:r w:rsidRPr="00873B4C">
        <w:rPr>
          <w:i/>
        </w:rPr>
        <w:t>How Low Can we Go</w:t>
      </w:r>
      <w:r>
        <w:rPr>
          <w:i/>
        </w:rPr>
        <w:t xml:space="preserve"> </w:t>
      </w:r>
      <w:r w:rsidRPr="00873B4C">
        <w:t xml:space="preserve">report </w:t>
      </w:r>
      <w:r w:rsidRPr="00516135">
        <w:t>emphasi</w:t>
      </w:r>
      <w:r>
        <w:t>s</w:t>
      </w:r>
      <w:r w:rsidRPr="00516135">
        <w:t>ed</w:t>
      </w:r>
      <w:r w:rsidRPr="00873B4C">
        <w:t xml:space="preserve"> </w:t>
      </w:r>
      <w:r>
        <w:t xml:space="preserve">that the cost of reagents was usually the most significant costs, with quite a large degree of flexibility, and that better informed negotiations and/or pooled procurement could assist with price reductions. </w:t>
      </w:r>
    </w:p>
    <w:p w14:paraId="14B66551" w14:textId="229B66C6" w:rsidR="00CB1DC8" w:rsidRDefault="00CB1DC8" w:rsidP="00CB1DC8">
      <w:pPr>
        <w:pStyle w:val="CEPAReportText"/>
      </w:pPr>
      <w:r>
        <w:t xml:space="preserve">Notwithstanding this issues, we note that as this is was an operational research project, procurement was less relevant for this grant in comparison to other larger commodity grants. Further we understand from Unitaid that there has been an improvement over time with regards to procurement coordination with the introduction of strategic engagement with manufacturers and Unitaid grantees, Global Fund and PEPFAR. </w:t>
      </w:r>
    </w:p>
    <w:p w14:paraId="34598847" w14:textId="77777777" w:rsidR="00CB1DC8" w:rsidRDefault="00CB1DC8" w:rsidP="00CB1DC8">
      <w:pPr>
        <w:pStyle w:val="CEPAReportText"/>
      </w:pPr>
      <w:r>
        <w:t xml:space="preserve">Finally, we note that MSF contributed to price transparency through the Access Campaign such as in the </w:t>
      </w:r>
      <w:r w:rsidRPr="00997C27">
        <w:rPr>
          <w:i/>
        </w:rPr>
        <w:t xml:space="preserve">How Low </w:t>
      </w:r>
      <w:r>
        <w:rPr>
          <w:i/>
        </w:rPr>
        <w:t>C</w:t>
      </w:r>
      <w:r w:rsidRPr="00997C27">
        <w:rPr>
          <w:i/>
        </w:rPr>
        <w:t xml:space="preserve">an </w:t>
      </w:r>
      <w:r>
        <w:rPr>
          <w:i/>
        </w:rPr>
        <w:t>W</w:t>
      </w:r>
      <w:r w:rsidRPr="00997C27">
        <w:rPr>
          <w:i/>
        </w:rPr>
        <w:t>e Go</w:t>
      </w:r>
      <w:r>
        <w:t xml:space="preserve"> publication.</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808080" w:themeFill="background1" w:themeFillShade="80"/>
        <w:tblLook w:val="04A0" w:firstRow="1" w:lastRow="0" w:firstColumn="1" w:lastColumn="0" w:noHBand="0" w:noVBand="1"/>
      </w:tblPr>
      <w:tblGrid>
        <w:gridCol w:w="9016"/>
      </w:tblGrid>
      <w:tr w:rsidR="00A95C74" w:rsidRPr="005B16B4" w14:paraId="4760C780" w14:textId="77777777" w:rsidTr="00A95C74">
        <w:trPr>
          <w:trHeight w:val="400"/>
          <w:tblHeader/>
        </w:trPr>
        <w:tc>
          <w:tcPr>
            <w:tcW w:w="5000" w:type="pct"/>
            <w:shd w:val="clear" w:color="auto" w:fill="7EA8DC" w:themeFill="text1" w:themeFillTint="80"/>
          </w:tcPr>
          <w:bookmarkEnd w:id="368"/>
          <w:p w14:paraId="463DA06C" w14:textId="77777777" w:rsidR="00A95C74" w:rsidRPr="005B16B4" w:rsidRDefault="00A95C74" w:rsidP="00A95C74">
            <w:pPr>
              <w:pStyle w:val="CEPATabletext"/>
              <w:rPr>
                <w:b/>
                <w:color w:val="FFFFFF"/>
                <w:sz w:val="24"/>
              </w:rPr>
            </w:pPr>
            <w:r w:rsidRPr="005B16B4">
              <w:rPr>
                <w:b/>
                <w:color w:val="FFFFFF"/>
                <w:sz w:val="24"/>
              </w:rPr>
              <w:t>Summary findings:</w:t>
            </w:r>
          </w:p>
          <w:p w14:paraId="45401B36" w14:textId="5C9BFD0F" w:rsidR="00A95C74" w:rsidRPr="005B16B4" w:rsidRDefault="00AD6A68" w:rsidP="00F20606">
            <w:pPr>
              <w:pStyle w:val="CEPATabletext"/>
              <w:rPr>
                <w:color w:val="FFFFFF"/>
                <w:sz w:val="24"/>
              </w:rPr>
            </w:pPr>
            <w:r w:rsidRPr="005B16B4">
              <w:rPr>
                <w:color w:val="FFFFFF"/>
                <w:sz w:val="24"/>
              </w:rPr>
              <w:t>While the MSF project has contributed to addressing all access barriers, its fundamental contribution has been in terms of supporting demand</w:t>
            </w:r>
            <w:r w:rsidR="003C6684">
              <w:rPr>
                <w:color w:val="FFFFFF"/>
                <w:sz w:val="24"/>
              </w:rPr>
              <w:t xml:space="preserve"> for VL testing. At the global level, the project has contributed to </w:t>
            </w:r>
            <w:r w:rsidR="003C6684" w:rsidRPr="005B16B4">
              <w:rPr>
                <w:color w:val="FFFFFF"/>
                <w:sz w:val="24"/>
              </w:rPr>
              <w:t xml:space="preserve">WHO global policy and guidelines development. </w:t>
            </w:r>
            <w:r w:rsidR="003C6684">
              <w:rPr>
                <w:color w:val="FFFFFF"/>
                <w:sz w:val="24"/>
              </w:rPr>
              <w:t xml:space="preserve">At the country level, there has been greater impact on national policies in Zimbabwe as compared to Malawi, </w:t>
            </w:r>
            <w:r w:rsidR="003C6684" w:rsidRPr="005B16B4">
              <w:rPr>
                <w:color w:val="FFFFFF"/>
                <w:sz w:val="24"/>
              </w:rPr>
              <w:t xml:space="preserve">reflecting varying degrees of engagement with policymakers and the number of partners simultaneously supporting VL testing in the respective countries. </w:t>
            </w:r>
            <w:r w:rsidRPr="005B16B4">
              <w:rPr>
                <w:color w:val="FFFFFF"/>
                <w:sz w:val="24"/>
              </w:rPr>
              <w:t xml:space="preserve">Demand has </w:t>
            </w:r>
            <w:r w:rsidR="00F20606">
              <w:rPr>
                <w:color w:val="FFFFFF"/>
                <w:sz w:val="24"/>
              </w:rPr>
              <w:t xml:space="preserve">also </w:t>
            </w:r>
            <w:r w:rsidRPr="005B16B4">
              <w:rPr>
                <w:color w:val="FFFFFF"/>
                <w:sz w:val="24"/>
              </w:rPr>
              <w:t xml:space="preserve">been facilitated by bringing the technologies closer to </w:t>
            </w:r>
            <w:r w:rsidR="00246825">
              <w:rPr>
                <w:color w:val="FFFFFF"/>
                <w:sz w:val="24"/>
              </w:rPr>
              <w:t>PLHIV</w:t>
            </w:r>
            <w:r w:rsidRPr="005B16B4">
              <w:rPr>
                <w:color w:val="FFFFFF"/>
                <w:sz w:val="24"/>
              </w:rPr>
              <w:t>, capacity building of health workers a</w:t>
            </w:r>
            <w:r w:rsidR="004D0695">
              <w:rPr>
                <w:color w:val="FFFFFF"/>
                <w:sz w:val="24"/>
              </w:rPr>
              <w:t>nd engagement with civil society</w:t>
            </w:r>
            <w:r w:rsidRPr="005B16B4">
              <w:rPr>
                <w:color w:val="FFFFFF"/>
                <w:sz w:val="24"/>
              </w:rPr>
              <w:t xml:space="preserve">. </w:t>
            </w:r>
            <w:r w:rsidR="0026453B">
              <w:rPr>
                <w:color w:val="FFFFFF"/>
                <w:sz w:val="24"/>
              </w:rPr>
              <w:t xml:space="preserve">The project has also contributed to </w:t>
            </w:r>
            <w:r w:rsidR="008608E2">
              <w:rPr>
                <w:color w:val="FFFFFF"/>
                <w:sz w:val="24"/>
              </w:rPr>
              <w:t>the supply and delivery of HIV monitoring</w:t>
            </w:r>
            <w:r w:rsidR="0026453B">
              <w:rPr>
                <w:color w:val="FFFFFF"/>
                <w:sz w:val="24"/>
              </w:rPr>
              <w:t xml:space="preserve"> for patients</w:t>
            </w:r>
            <w:r w:rsidR="00F167BF">
              <w:rPr>
                <w:color w:val="FFFFFF"/>
                <w:sz w:val="24"/>
              </w:rPr>
              <w:t xml:space="preserve"> at a pilot scale</w:t>
            </w:r>
            <w:r w:rsidR="0026453B">
              <w:rPr>
                <w:color w:val="FFFFFF"/>
                <w:sz w:val="24"/>
              </w:rPr>
              <w:t xml:space="preserve">, however affordability remains an important access barrier that remains. </w:t>
            </w:r>
          </w:p>
        </w:tc>
      </w:tr>
    </w:tbl>
    <w:p w14:paraId="5CC46EFC" w14:textId="77777777" w:rsidR="00491A46" w:rsidRDefault="00491A46" w:rsidP="00491A46">
      <w:pPr>
        <w:pStyle w:val="Heading2"/>
        <w:numPr>
          <w:ilvl w:val="1"/>
          <w:numId w:val="2"/>
        </w:numPr>
      </w:pPr>
      <w:bookmarkStart w:id="382" w:name="_Toc500502179"/>
      <w:bookmarkStart w:id="383" w:name="_Toc500502247"/>
      <w:bookmarkStart w:id="384" w:name="_Toc500502282"/>
      <w:bookmarkStart w:id="385" w:name="_Toc500502703"/>
      <w:bookmarkStart w:id="386" w:name="_Toc500502982"/>
      <w:bookmarkStart w:id="387" w:name="_Toc500503070"/>
      <w:bookmarkStart w:id="388" w:name="_Toc500503099"/>
      <w:bookmarkStart w:id="389" w:name="_Toc500503132"/>
      <w:bookmarkStart w:id="390" w:name="_Toc500503452"/>
      <w:bookmarkStart w:id="391" w:name="_Toc500506260"/>
      <w:bookmarkStart w:id="392" w:name="_Toc500506293"/>
      <w:bookmarkStart w:id="393" w:name="_Toc500448063"/>
      <w:bookmarkStart w:id="394" w:name="_Toc500502180"/>
      <w:bookmarkStart w:id="395" w:name="_Toc500502248"/>
      <w:bookmarkStart w:id="396" w:name="_Toc500502283"/>
      <w:bookmarkStart w:id="397" w:name="_Toc500502704"/>
      <w:bookmarkStart w:id="398" w:name="_Toc500502983"/>
      <w:bookmarkStart w:id="399" w:name="_Toc500503071"/>
      <w:bookmarkStart w:id="400" w:name="_Toc500503100"/>
      <w:bookmarkStart w:id="401" w:name="_Toc500503133"/>
      <w:bookmarkStart w:id="402" w:name="_Toc500503453"/>
      <w:bookmarkStart w:id="403" w:name="_Toc500506261"/>
      <w:bookmarkStart w:id="404" w:name="_Toc500506294"/>
      <w:bookmarkStart w:id="405" w:name="_Toc500504535"/>
      <w:bookmarkStart w:id="406" w:name="_Toc500504536"/>
      <w:bookmarkStart w:id="407" w:name="_Toc500182466"/>
      <w:bookmarkStart w:id="408" w:name="_Toc500445654"/>
      <w:bookmarkStart w:id="409" w:name="_Toc500503134"/>
      <w:bookmarkStart w:id="410" w:name="_Toc500508115"/>
      <w:bookmarkStart w:id="411" w:name="_Toc500512843"/>
      <w:bookmarkStart w:id="412" w:name="_Toc500517769"/>
      <w:bookmarkStart w:id="413" w:name="_Toc500519584"/>
      <w:bookmarkStart w:id="414" w:name="_Toc500524431"/>
      <w:bookmarkStart w:id="415" w:name="_Toc506417403"/>
      <w:bookmarkStart w:id="416" w:name="_Toc515359227"/>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t>Public health impact</w:t>
      </w:r>
      <w:bookmarkEnd w:id="407"/>
      <w:bookmarkEnd w:id="408"/>
      <w:bookmarkEnd w:id="409"/>
      <w:bookmarkEnd w:id="410"/>
      <w:bookmarkEnd w:id="411"/>
      <w:bookmarkEnd w:id="412"/>
      <w:bookmarkEnd w:id="413"/>
      <w:bookmarkEnd w:id="414"/>
      <w:bookmarkEnd w:id="415"/>
      <w:bookmarkEnd w:id="416"/>
    </w:p>
    <w:p w14:paraId="6E20246B" w14:textId="73D5534A" w:rsidR="00491A46" w:rsidRDefault="006F1EE1" w:rsidP="00491A46">
      <w:pPr>
        <w:pStyle w:val="CEPAReportText"/>
      </w:pPr>
      <w:r>
        <w:t>The</w:t>
      </w:r>
      <w:r w:rsidR="00491A46">
        <w:t xml:space="preserve"> evaluation question is as follows: </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8E278A" w:rsidRPr="00B943ED" w14:paraId="376A1857" w14:textId="77777777" w:rsidTr="008E278A">
        <w:trPr>
          <w:trHeight w:val="503"/>
          <w:tblHeader/>
        </w:trPr>
        <w:tc>
          <w:tcPr>
            <w:tcW w:w="5000" w:type="pct"/>
            <w:shd w:val="solid" w:color="4B86CD" w:fill="auto"/>
          </w:tcPr>
          <w:p w14:paraId="3609F789" w14:textId="77777777" w:rsidR="008E278A" w:rsidRPr="009C1133" w:rsidRDefault="008E278A" w:rsidP="00846486">
            <w:pPr>
              <w:pStyle w:val="CEPATabletext"/>
              <w:numPr>
                <w:ilvl w:val="0"/>
                <w:numId w:val="9"/>
              </w:numPr>
              <w:rPr>
                <w:b/>
                <w:color w:val="FFFFFF"/>
                <w:sz w:val="24"/>
              </w:rPr>
            </w:pPr>
            <w:r w:rsidRPr="009C1133">
              <w:rPr>
                <w:b/>
                <w:color w:val="FFFFFF"/>
                <w:sz w:val="24"/>
              </w:rPr>
              <w:t>What has been the public health impact of the project from decentralised testing and disease monitoring (direct and indirect)?</w:t>
            </w:r>
          </w:p>
        </w:tc>
      </w:tr>
    </w:tbl>
    <w:p w14:paraId="7B73183E" w14:textId="34BCEB58" w:rsidR="00FB6065" w:rsidRDefault="00FB6065" w:rsidP="00FB6065">
      <w:pPr>
        <w:pStyle w:val="CEPAReportText"/>
      </w:pPr>
      <w:r>
        <w:t xml:space="preserve">We consider the public health impact of the project work on VL, EID and CD4 testing below. The analysis is based on progress reported against logframe indicators relating to public health impact, supplemented </w:t>
      </w:r>
      <w:r w:rsidR="00CF05BA">
        <w:t xml:space="preserve">by </w:t>
      </w:r>
      <w:r w:rsidR="00F86209">
        <w:t xml:space="preserve">additional quantitative analysis and </w:t>
      </w:r>
      <w:r w:rsidR="00CF05BA">
        <w:t>consultation feedback, especially from the country visits to Malawi and Zimbabwe.</w:t>
      </w:r>
      <w:r w:rsidR="009D739F">
        <w:rPr>
          <w:rStyle w:val="FootnoteReference"/>
        </w:rPr>
        <w:footnoteReference w:id="81"/>
      </w:r>
      <w:r w:rsidR="00CF05BA">
        <w:t xml:space="preserve"> </w:t>
      </w:r>
    </w:p>
    <w:p w14:paraId="6AC67B5B" w14:textId="6DBA10A8" w:rsidR="00491A46" w:rsidRDefault="007B10C8" w:rsidP="006F1EE1">
      <w:pPr>
        <w:pStyle w:val="Heading3"/>
      </w:pPr>
      <w:r>
        <w:t>VL</w:t>
      </w:r>
      <w:r w:rsidR="00491A46">
        <w:t xml:space="preserve"> monitoring and public health impact</w:t>
      </w:r>
    </w:p>
    <w:p w14:paraId="25DD9493" w14:textId="5ECAE72C" w:rsidR="00633D2B" w:rsidRDefault="00633D2B" w:rsidP="00491A46">
      <w:pPr>
        <w:pStyle w:val="CEPAReportText"/>
      </w:pPr>
      <w:r w:rsidRPr="00633D2B">
        <w:t>The project contributed significantly to the increase in VL coverage that reached 80% and above in some rural sites</w:t>
      </w:r>
      <w:r w:rsidR="00930214">
        <w:t xml:space="preserve"> and </w:t>
      </w:r>
      <w:r w:rsidRPr="00633D2B">
        <w:t>MSF helped to increase VL coverage to a</w:t>
      </w:r>
      <w:r w:rsidR="00930214">
        <w:t>pproximately</w:t>
      </w:r>
      <w:r w:rsidRPr="00633D2B">
        <w:t xml:space="preserve"> 30% of the tests needed</w:t>
      </w:r>
      <w:r w:rsidR="00930214">
        <w:t xml:space="preserve"> in cities</w:t>
      </w:r>
      <w:r w:rsidRPr="00633D2B">
        <w:t>.</w:t>
      </w:r>
      <w:r w:rsidR="00930214">
        <w:rPr>
          <w:rStyle w:val="FootnoteReference"/>
        </w:rPr>
        <w:footnoteReference w:id="82"/>
      </w:r>
      <w:r w:rsidRPr="00633D2B">
        <w:t xml:space="preserve"> Whilst no target was set for the logframe indicator O5.1a  on “percentage of coverage of </w:t>
      </w:r>
      <w:r w:rsidR="007B10C8">
        <w:t>VL</w:t>
      </w:r>
      <w:r w:rsidRPr="00633D2B">
        <w:t xml:space="preserve"> testing based on annual HIV caseload estimates”, </w:t>
      </w:r>
      <w:bookmarkStart w:id="417" w:name="_Hlk506469250"/>
      <w:r w:rsidRPr="00633D2B">
        <w:t>across seven sites with 2016 available data, the percentage of coverage of VL testing was 44% overall, of which 33% was covered by MSF</w:t>
      </w:r>
      <w:bookmarkEnd w:id="417"/>
      <w:r w:rsidRPr="00633D2B">
        <w:t>.</w:t>
      </w:r>
      <w:r w:rsidR="004E59CC">
        <w:rPr>
          <w:rStyle w:val="FootnoteReference"/>
        </w:rPr>
        <w:footnoteReference w:id="83"/>
      </w:r>
      <w:r w:rsidRPr="00633D2B">
        <w:t xml:space="preserve"> </w:t>
      </w:r>
      <w:bookmarkStart w:id="418" w:name="_Hlk506469299"/>
      <w:r w:rsidRPr="00633D2B">
        <w:t xml:space="preserve">Given that many sites did not have routine testing before the start of the project, this is </w:t>
      </w:r>
      <w:r w:rsidR="00DF7302">
        <w:t xml:space="preserve">good </w:t>
      </w:r>
      <w:r w:rsidRPr="00633D2B">
        <w:t xml:space="preserve">progress, but </w:t>
      </w:r>
      <w:r w:rsidR="00743235">
        <w:t xml:space="preserve">more will need to be done to achieve required scale up. </w:t>
      </w:r>
    </w:p>
    <w:bookmarkEnd w:id="418"/>
    <w:p w14:paraId="34A482BC" w14:textId="2EA95E27" w:rsidR="00491A46" w:rsidRPr="009D726F" w:rsidRDefault="00491A46" w:rsidP="00491A46">
      <w:pPr>
        <w:pStyle w:val="CEPAReportText"/>
        <w:rPr>
          <w:vertAlign w:val="superscript"/>
        </w:rPr>
      </w:pPr>
      <w:r w:rsidRPr="001B0DAF">
        <w:t xml:space="preserve">One of the benefits of </w:t>
      </w:r>
      <w:r>
        <w:t xml:space="preserve">the </w:t>
      </w:r>
      <w:r w:rsidRPr="001B0DAF">
        <w:t>VL testing i</w:t>
      </w:r>
      <w:r>
        <w:t>n the project is</w:t>
      </w:r>
      <w:r w:rsidRPr="001B0DAF">
        <w:t xml:space="preserve"> that it highlighted the lack of coordination in the VL cascade, and the high need for switches to </w:t>
      </w:r>
      <w:r w:rsidR="00093AAF">
        <w:t>second-line treatment</w:t>
      </w:r>
      <w:r w:rsidR="00DF7302">
        <w:t xml:space="preserve">. </w:t>
      </w:r>
      <w:r>
        <w:t xml:space="preserve">Table </w:t>
      </w:r>
      <w:r w:rsidR="00FB6065">
        <w:t>4.2</w:t>
      </w:r>
      <w:r>
        <w:t xml:space="preserve"> shows the number of enrolled ART patients changed per protocol to a </w:t>
      </w:r>
      <w:r w:rsidR="00EA5AB6">
        <w:t>second-line regimen</w:t>
      </w:r>
      <w:r>
        <w:t xml:space="preserve"> by VL testing, revealing a much lower than planned achievement and considerable variation by project site.</w:t>
      </w:r>
      <w:r w:rsidR="00A51C5E">
        <w:rPr>
          <w:rStyle w:val="FootnoteReference"/>
        </w:rPr>
        <w:footnoteReference w:id="84"/>
      </w:r>
      <w:r w:rsidR="00FB6065" w:rsidRPr="00FB6065">
        <w:t xml:space="preserve"> </w:t>
      </w:r>
      <w:r w:rsidR="001049D8">
        <w:rPr>
          <w:rFonts w:eastAsia="Calibri" w:cs="Calibri"/>
        </w:rPr>
        <w:t>Switching to</w:t>
      </w:r>
      <w:r w:rsidR="001049D8" w:rsidRPr="002767BF">
        <w:rPr>
          <w:rFonts w:eastAsia="Calibri" w:cs="Calibri"/>
        </w:rPr>
        <w:t xml:space="preserve"> seco</w:t>
      </w:r>
      <w:r w:rsidR="001049D8">
        <w:rPr>
          <w:rFonts w:eastAsia="Calibri" w:cs="Calibri"/>
        </w:rPr>
        <w:t>nd-</w:t>
      </w:r>
      <w:r w:rsidR="001049D8" w:rsidRPr="002767BF">
        <w:rPr>
          <w:rFonts w:eastAsia="Calibri" w:cs="Calibri"/>
        </w:rPr>
        <w:t xml:space="preserve">line </w:t>
      </w:r>
      <w:r w:rsidR="001049D8">
        <w:rPr>
          <w:rFonts w:eastAsia="Calibri" w:cs="Calibri"/>
        </w:rPr>
        <w:t xml:space="preserve">treatment </w:t>
      </w:r>
      <w:r w:rsidR="001049D8" w:rsidRPr="002767BF">
        <w:rPr>
          <w:rFonts w:eastAsia="Calibri" w:cs="Calibri"/>
        </w:rPr>
        <w:t xml:space="preserve">was not a direct focus of the project, and </w:t>
      </w:r>
      <w:r w:rsidR="001049D8">
        <w:rPr>
          <w:rFonts w:eastAsia="Calibri" w:cs="Calibri"/>
        </w:rPr>
        <w:t xml:space="preserve">consultations indicated that </w:t>
      </w:r>
      <w:r w:rsidR="001049D8" w:rsidRPr="002767BF">
        <w:rPr>
          <w:rFonts w:eastAsia="Calibri" w:cs="Calibri"/>
        </w:rPr>
        <w:t>it mi</w:t>
      </w:r>
      <w:r w:rsidR="001049D8">
        <w:rPr>
          <w:rFonts w:eastAsia="Calibri" w:cs="Calibri"/>
        </w:rPr>
        <w:t xml:space="preserve">ght have been helpful to have this focus at the outset for greater linkages with results. </w:t>
      </w:r>
      <w:r w:rsidR="00CF05BA">
        <w:t xml:space="preserve">However while </w:t>
      </w:r>
      <w:r w:rsidR="00FB6065">
        <w:t xml:space="preserve">the project target was not met, it needs to be noted that the absolute number of switches to </w:t>
      </w:r>
      <w:r w:rsidR="00093AAF">
        <w:t>second-line treatment</w:t>
      </w:r>
      <w:r w:rsidR="00FB6065">
        <w:t xml:space="preserve"> has increased significantly as this was below 1% at the time of grant proposal.</w:t>
      </w:r>
      <w:r w:rsidR="00FB6065">
        <w:rPr>
          <w:rStyle w:val="FootnoteReference"/>
        </w:rPr>
        <w:footnoteReference w:id="85"/>
      </w:r>
      <w:r w:rsidR="00443EF5">
        <w:t xml:space="preserve"> </w:t>
      </w:r>
    </w:p>
    <w:p w14:paraId="2638436F" w14:textId="0ACA9B54" w:rsidR="00491A46" w:rsidRPr="00EF7A86" w:rsidRDefault="00491A46" w:rsidP="00491A46">
      <w:pPr>
        <w:pStyle w:val="CEPADiagramLabel"/>
      </w:pPr>
      <w:r>
        <w:t xml:space="preserve">Table </w:t>
      </w:r>
      <w:r w:rsidR="00FB6065">
        <w:t>4.2</w:t>
      </w:r>
      <w:r>
        <w:t xml:space="preserve">: Number and percentage of enrolled ART patients changed per protocol to a </w:t>
      </w:r>
      <w:r w:rsidR="00EA5AB6">
        <w:t>second-line regimen</w:t>
      </w:r>
      <w:r>
        <w:t xml:space="preserve"> by VL testing (Indicator G2</w:t>
      </w:r>
      <w:r w:rsidR="001533E3">
        <w:t>)</w:t>
      </w:r>
      <w:r w:rsidR="00412843" w:rsidRPr="00EF7628">
        <w:rPr>
          <w:vertAlign w:val="superscript"/>
        </w:rPr>
        <w:t>,</w:t>
      </w:r>
      <w:r>
        <w:rPr>
          <w:rStyle w:val="FootnoteReference"/>
        </w:rPr>
        <w:footnoteReference w:id="86"/>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004"/>
        <w:gridCol w:w="3004"/>
        <w:gridCol w:w="3008"/>
      </w:tblGrid>
      <w:tr w:rsidR="00491A46" w14:paraId="7793C481" w14:textId="77777777" w:rsidTr="00E3781D">
        <w:tc>
          <w:tcPr>
            <w:tcW w:w="1666" w:type="pct"/>
            <w:tcBorders>
              <w:top w:val="single" w:sz="4" w:space="0" w:color="D9D9D9" w:themeColor="background1" w:themeShade="D9"/>
            </w:tcBorders>
            <w:shd w:val="solid" w:color="4B86CD" w:fill="auto"/>
          </w:tcPr>
          <w:p w14:paraId="577FCAB2" w14:textId="77777777" w:rsidR="00491A46" w:rsidRPr="00EF7A86" w:rsidRDefault="00491A46" w:rsidP="005B13B2">
            <w:pPr>
              <w:pStyle w:val="CEPATabletext"/>
              <w:rPr>
                <w:b/>
                <w:color w:val="FFFFFF"/>
              </w:rPr>
            </w:pPr>
            <w:r>
              <w:rPr>
                <w:b/>
                <w:color w:val="FFFFFF"/>
              </w:rPr>
              <w:t>Select countries</w:t>
            </w:r>
          </w:p>
        </w:tc>
        <w:tc>
          <w:tcPr>
            <w:tcW w:w="1666" w:type="pct"/>
            <w:tcBorders>
              <w:top w:val="single" w:sz="4" w:space="0" w:color="D9D9D9" w:themeColor="background1" w:themeShade="D9"/>
            </w:tcBorders>
            <w:shd w:val="solid" w:color="4B86CD" w:fill="auto"/>
          </w:tcPr>
          <w:p w14:paraId="5C8FF28B" w14:textId="77777777" w:rsidR="00491A46" w:rsidRPr="00EF7A86" w:rsidRDefault="00491A46" w:rsidP="005B13B2">
            <w:pPr>
              <w:pStyle w:val="CEPATabletext"/>
              <w:rPr>
                <w:b/>
                <w:color w:val="FFFFFF"/>
              </w:rPr>
            </w:pPr>
            <w:r>
              <w:rPr>
                <w:b/>
                <w:color w:val="FFFFFF"/>
              </w:rPr>
              <w:t>Target</w:t>
            </w:r>
          </w:p>
        </w:tc>
        <w:tc>
          <w:tcPr>
            <w:tcW w:w="1668" w:type="pct"/>
            <w:tcBorders>
              <w:top w:val="single" w:sz="4" w:space="0" w:color="D9D9D9" w:themeColor="background1" w:themeShade="D9"/>
            </w:tcBorders>
            <w:shd w:val="solid" w:color="4B86CD" w:fill="auto"/>
          </w:tcPr>
          <w:p w14:paraId="19589D35" w14:textId="5D8ED306" w:rsidR="00491A46" w:rsidRPr="00EF7A86" w:rsidRDefault="00491A46" w:rsidP="005B13B2">
            <w:pPr>
              <w:pStyle w:val="CEPATabletext"/>
              <w:rPr>
                <w:b/>
                <w:color w:val="FFFFFF"/>
              </w:rPr>
            </w:pPr>
            <w:r>
              <w:rPr>
                <w:b/>
                <w:color w:val="FFFFFF"/>
              </w:rPr>
              <w:t>Result</w:t>
            </w:r>
            <w:r w:rsidR="00DB7642">
              <w:rPr>
                <w:rStyle w:val="FootnoteReference"/>
                <w:b/>
                <w:color w:val="FFFFFF"/>
              </w:rPr>
              <w:footnoteReference w:id="87"/>
            </w:r>
          </w:p>
        </w:tc>
      </w:tr>
      <w:tr w:rsidR="00491A46" w14:paraId="033AD545" w14:textId="77777777" w:rsidTr="00E3781D">
        <w:tc>
          <w:tcPr>
            <w:tcW w:w="1666" w:type="pct"/>
          </w:tcPr>
          <w:p w14:paraId="7AE6894A" w14:textId="376191B8" w:rsidR="00491A46" w:rsidRDefault="00491A46" w:rsidP="005B13B2">
            <w:pPr>
              <w:pStyle w:val="CEPATabletext"/>
            </w:pPr>
            <w:r>
              <w:t>Overall</w:t>
            </w:r>
          </w:p>
        </w:tc>
        <w:tc>
          <w:tcPr>
            <w:tcW w:w="1666" w:type="pct"/>
          </w:tcPr>
          <w:p w14:paraId="792DC29B" w14:textId="77777777" w:rsidR="00491A46" w:rsidRDefault="00491A46" w:rsidP="005B13B2">
            <w:pPr>
              <w:pStyle w:val="CEPATabletext"/>
            </w:pPr>
            <w:r w:rsidRPr="00BD27A3">
              <w:t>16,030</w:t>
            </w:r>
          </w:p>
        </w:tc>
        <w:tc>
          <w:tcPr>
            <w:tcW w:w="1668" w:type="pct"/>
          </w:tcPr>
          <w:p w14:paraId="6B8FB5B5" w14:textId="352013B1" w:rsidR="00491A46" w:rsidRDefault="00491A46" w:rsidP="005B13B2">
            <w:pPr>
              <w:pStyle w:val="CEPATabletext"/>
            </w:pPr>
            <w:r w:rsidRPr="00BD27A3">
              <w:t>4,839</w:t>
            </w:r>
            <w:r>
              <w:t xml:space="preserve"> (30%)</w:t>
            </w:r>
            <w:r w:rsidR="00DB7642">
              <w:rPr>
                <w:rStyle w:val="FootnoteReference"/>
              </w:rPr>
              <w:footnoteReference w:id="88"/>
            </w:r>
          </w:p>
        </w:tc>
      </w:tr>
      <w:tr w:rsidR="008503FF" w14:paraId="01C3E6A7" w14:textId="77777777" w:rsidTr="00E3781D">
        <w:tc>
          <w:tcPr>
            <w:tcW w:w="1666" w:type="pct"/>
          </w:tcPr>
          <w:p w14:paraId="03147CEE" w14:textId="77777777" w:rsidR="008503FF" w:rsidRDefault="008503FF" w:rsidP="005B13B2">
            <w:pPr>
              <w:pStyle w:val="CEPATabletext"/>
            </w:pPr>
            <w:r>
              <w:t>DRC (Kinshasa)</w:t>
            </w:r>
          </w:p>
        </w:tc>
        <w:tc>
          <w:tcPr>
            <w:tcW w:w="1666" w:type="pct"/>
            <w:vMerge w:val="restart"/>
            <w:shd w:val="clear" w:color="auto" w:fill="A6A6A6" w:themeFill="background1" w:themeFillShade="A6"/>
          </w:tcPr>
          <w:p w14:paraId="4409672B" w14:textId="77777777" w:rsidR="008503FF" w:rsidRPr="00BD27A3" w:rsidRDefault="008503FF" w:rsidP="005B13B2">
            <w:pPr>
              <w:pStyle w:val="CEPATabletext"/>
            </w:pPr>
          </w:p>
        </w:tc>
        <w:tc>
          <w:tcPr>
            <w:tcW w:w="1668" w:type="pct"/>
          </w:tcPr>
          <w:p w14:paraId="37C7A9A5" w14:textId="77777777" w:rsidR="008503FF" w:rsidRPr="00BD27A3" w:rsidRDefault="008503FF" w:rsidP="005B13B2">
            <w:pPr>
              <w:pStyle w:val="CEPATabletext"/>
            </w:pPr>
            <w:r>
              <w:t>8%</w:t>
            </w:r>
          </w:p>
        </w:tc>
      </w:tr>
      <w:tr w:rsidR="008503FF" w14:paraId="66D1C2FA" w14:textId="77777777" w:rsidTr="00E3781D">
        <w:tc>
          <w:tcPr>
            <w:tcW w:w="1666" w:type="pct"/>
          </w:tcPr>
          <w:p w14:paraId="537441A0" w14:textId="77777777" w:rsidR="008503FF" w:rsidRDefault="008503FF" w:rsidP="005B13B2">
            <w:pPr>
              <w:pStyle w:val="CEPATabletext"/>
            </w:pPr>
            <w:r>
              <w:t>Malawi (Chiradzulu)</w:t>
            </w:r>
          </w:p>
        </w:tc>
        <w:tc>
          <w:tcPr>
            <w:tcW w:w="1666" w:type="pct"/>
            <w:vMerge/>
            <w:shd w:val="clear" w:color="auto" w:fill="A6A6A6" w:themeFill="background1" w:themeFillShade="A6"/>
          </w:tcPr>
          <w:p w14:paraId="2E06705E" w14:textId="77777777" w:rsidR="008503FF" w:rsidRDefault="008503FF" w:rsidP="005B13B2">
            <w:pPr>
              <w:pStyle w:val="CEPATabletext"/>
            </w:pPr>
          </w:p>
        </w:tc>
        <w:tc>
          <w:tcPr>
            <w:tcW w:w="1668" w:type="pct"/>
          </w:tcPr>
          <w:p w14:paraId="48119D71" w14:textId="77777777" w:rsidR="008503FF" w:rsidRDefault="008503FF" w:rsidP="005B13B2">
            <w:pPr>
              <w:pStyle w:val="CEPATabletext"/>
            </w:pPr>
            <w:r>
              <w:t>68%</w:t>
            </w:r>
          </w:p>
        </w:tc>
      </w:tr>
      <w:tr w:rsidR="008503FF" w14:paraId="648BFB68" w14:textId="77777777" w:rsidTr="00E3781D">
        <w:tc>
          <w:tcPr>
            <w:tcW w:w="1666" w:type="pct"/>
          </w:tcPr>
          <w:p w14:paraId="1831E33D" w14:textId="77777777" w:rsidR="008503FF" w:rsidRDefault="008503FF" w:rsidP="005B13B2">
            <w:pPr>
              <w:pStyle w:val="CEPATabletext"/>
            </w:pPr>
            <w:r>
              <w:t>Mozambique (Maputo)</w:t>
            </w:r>
          </w:p>
        </w:tc>
        <w:tc>
          <w:tcPr>
            <w:tcW w:w="1666" w:type="pct"/>
            <w:vMerge/>
            <w:shd w:val="clear" w:color="auto" w:fill="A6A6A6" w:themeFill="background1" w:themeFillShade="A6"/>
          </w:tcPr>
          <w:p w14:paraId="4CE75CA6" w14:textId="77777777" w:rsidR="008503FF" w:rsidRDefault="008503FF" w:rsidP="005B13B2">
            <w:pPr>
              <w:pStyle w:val="CEPATabletext"/>
            </w:pPr>
          </w:p>
        </w:tc>
        <w:tc>
          <w:tcPr>
            <w:tcW w:w="1668" w:type="pct"/>
          </w:tcPr>
          <w:p w14:paraId="62DA1CB3" w14:textId="77777777" w:rsidR="008503FF" w:rsidRDefault="008503FF" w:rsidP="005B13B2">
            <w:pPr>
              <w:pStyle w:val="CEPATabletext"/>
            </w:pPr>
            <w:r>
              <w:t>57%</w:t>
            </w:r>
          </w:p>
        </w:tc>
      </w:tr>
      <w:tr w:rsidR="008503FF" w14:paraId="4525830C" w14:textId="77777777" w:rsidTr="00E3781D">
        <w:tc>
          <w:tcPr>
            <w:tcW w:w="1666" w:type="pct"/>
            <w:tcBorders>
              <w:bottom w:val="single" w:sz="4" w:space="0" w:color="999999"/>
            </w:tcBorders>
          </w:tcPr>
          <w:p w14:paraId="6938B2B3" w14:textId="77777777" w:rsidR="008503FF" w:rsidRDefault="008503FF" w:rsidP="005B13B2">
            <w:pPr>
              <w:pStyle w:val="CEPATabletext"/>
            </w:pPr>
            <w:r>
              <w:t>Swaziland (Shiselweni)</w:t>
            </w:r>
          </w:p>
        </w:tc>
        <w:tc>
          <w:tcPr>
            <w:tcW w:w="1666" w:type="pct"/>
            <w:vMerge/>
            <w:tcBorders>
              <w:bottom w:val="single" w:sz="4" w:space="0" w:color="999999"/>
            </w:tcBorders>
            <w:shd w:val="clear" w:color="auto" w:fill="A6A6A6" w:themeFill="background1" w:themeFillShade="A6"/>
          </w:tcPr>
          <w:p w14:paraId="3F2C68C6" w14:textId="77777777" w:rsidR="008503FF" w:rsidRDefault="008503FF" w:rsidP="005B13B2">
            <w:pPr>
              <w:pStyle w:val="CEPATabletext"/>
            </w:pPr>
          </w:p>
        </w:tc>
        <w:tc>
          <w:tcPr>
            <w:tcW w:w="1668" w:type="pct"/>
            <w:tcBorders>
              <w:bottom w:val="single" w:sz="4" w:space="0" w:color="999999"/>
            </w:tcBorders>
          </w:tcPr>
          <w:p w14:paraId="25BC556A" w14:textId="77777777" w:rsidR="008503FF" w:rsidRDefault="008503FF" w:rsidP="005B13B2">
            <w:pPr>
              <w:pStyle w:val="CEPATabletext"/>
            </w:pPr>
            <w:r>
              <w:t>24%</w:t>
            </w:r>
          </w:p>
        </w:tc>
      </w:tr>
      <w:tr w:rsidR="008503FF" w14:paraId="4F7148D7" w14:textId="77777777" w:rsidTr="00E3781D">
        <w:tc>
          <w:tcPr>
            <w:tcW w:w="1666" w:type="pct"/>
            <w:tcBorders>
              <w:bottom w:val="single" w:sz="4" w:space="0" w:color="auto"/>
            </w:tcBorders>
          </w:tcPr>
          <w:p w14:paraId="4B213E66" w14:textId="77777777" w:rsidR="008503FF" w:rsidRDefault="008503FF" w:rsidP="005B13B2">
            <w:pPr>
              <w:pStyle w:val="CEPATabletext"/>
            </w:pPr>
            <w:r>
              <w:t>Zimbabwe (Gutu)</w:t>
            </w:r>
          </w:p>
        </w:tc>
        <w:tc>
          <w:tcPr>
            <w:tcW w:w="1666" w:type="pct"/>
            <w:vMerge/>
            <w:tcBorders>
              <w:bottom w:val="single" w:sz="4" w:space="0" w:color="auto"/>
            </w:tcBorders>
            <w:shd w:val="clear" w:color="auto" w:fill="A6A6A6" w:themeFill="background1" w:themeFillShade="A6"/>
          </w:tcPr>
          <w:p w14:paraId="55639D21" w14:textId="77777777" w:rsidR="008503FF" w:rsidRDefault="008503FF" w:rsidP="005B13B2">
            <w:pPr>
              <w:pStyle w:val="CEPATabletext"/>
            </w:pPr>
          </w:p>
        </w:tc>
        <w:tc>
          <w:tcPr>
            <w:tcW w:w="1668" w:type="pct"/>
            <w:tcBorders>
              <w:bottom w:val="single" w:sz="4" w:space="0" w:color="auto"/>
            </w:tcBorders>
          </w:tcPr>
          <w:p w14:paraId="698FDF2A" w14:textId="77777777" w:rsidR="008503FF" w:rsidRDefault="008503FF" w:rsidP="005B13B2">
            <w:pPr>
              <w:pStyle w:val="CEPATabletext"/>
            </w:pPr>
            <w:r>
              <w:t>25%</w:t>
            </w:r>
          </w:p>
        </w:tc>
      </w:tr>
    </w:tbl>
    <w:p w14:paraId="76343B87" w14:textId="77777777" w:rsidR="0020511D" w:rsidRDefault="0020511D" w:rsidP="00FB6065">
      <w:pPr>
        <w:pStyle w:val="CEPAReportText"/>
      </w:pPr>
    </w:p>
    <w:p w14:paraId="49F5CFD0" w14:textId="4E643AE5" w:rsidR="0020511D" w:rsidRDefault="0020511D" w:rsidP="00FB6065">
      <w:pPr>
        <w:pStyle w:val="CEPAReportText"/>
      </w:pPr>
      <w:r w:rsidRPr="00E3781D">
        <w:t>Box 4.1 provides barriers to switching and particular strategies that have worked under the project.</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2F2F2" w:themeFill="background1" w:themeFillShade="F2"/>
        <w:tblLook w:val="04A0" w:firstRow="1" w:lastRow="0" w:firstColumn="1" w:lastColumn="0" w:noHBand="0" w:noVBand="1"/>
      </w:tblPr>
      <w:tblGrid>
        <w:gridCol w:w="9016"/>
      </w:tblGrid>
      <w:tr w:rsidR="0020511D" w:rsidRPr="006935C6" w14:paraId="33A52223" w14:textId="77777777" w:rsidTr="0020511D">
        <w:trPr>
          <w:tblHeader/>
        </w:trPr>
        <w:tc>
          <w:tcPr>
            <w:tcW w:w="5000" w:type="pct"/>
            <w:shd w:val="clear" w:color="auto" w:fill="F2F2F2" w:themeFill="background1" w:themeFillShade="F2"/>
          </w:tcPr>
          <w:p w14:paraId="3F112AE2" w14:textId="77777777" w:rsidR="0020511D" w:rsidRPr="00CF05BA" w:rsidRDefault="0020511D" w:rsidP="0020511D">
            <w:pPr>
              <w:pStyle w:val="CEPATabletext"/>
              <w:rPr>
                <w:b/>
              </w:rPr>
            </w:pPr>
            <w:r w:rsidRPr="00CF05BA">
              <w:rPr>
                <w:b/>
              </w:rPr>
              <w:t>Box 4.1: Switching to Second Line Drugs – Barriers and Potential Solutions</w:t>
            </w:r>
          </w:p>
          <w:p w14:paraId="10A7057C" w14:textId="77777777" w:rsidR="0020511D" w:rsidRPr="007C6B71" w:rsidRDefault="0020511D" w:rsidP="0020511D">
            <w:pPr>
              <w:pStyle w:val="CEPATabletext"/>
              <w:rPr>
                <w:rFonts w:asciiTheme="minorHAnsi" w:hAnsiTheme="minorHAnsi" w:cstheme="minorHAnsi"/>
                <w:i/>
              </w:rPr>
            </w:pPr>
            <w:r>
              <w:rPr>
                <w:rFonts w:asciiTheme="minorHAnsi" w:hAnsiTheme="minorHAnsi" w:cstheme="minorHAnsi"/>
                <w:i/>
              </w:rPr>
              <w:t>Barriers to switching</w:t>
            </w:r>
          </w:p>
          <w:p w14:paraId="728A104E" w14:textId="77777777" w:rsidR="0020511D" w:rsidRPr="0037152C" w:rsidRDefault="0020511D" w:rsidP="0020511D">
            <w:pPr>
              <w:pStyle w:val="CEPATabletext"/>
              <w:rPr>
                <w:rFonts w:asciiTheme="minorHAnsi" w:hAnsiTheme="minorHAnsi" w:cstheme="minorHAnsi"/>
              </w:rPr>
            </w:pPr>
            <w:r>
              <w:rPr>
                <w:rFonts w:asciiTheme="minorHAnsi" w:hAnsiTheme="minorHAnsi" w:cstheme="minorHAnsi"/>
              </w:rPr>
              <w:t>The End of Project report notes a number of reasons why the switch to second-line regimens did not happen as much as expected. This included: (i) c</w:t>
            </w:r>
            <w:r w:rsidRPr="0037152C">
              <w:rPr>
                <w:rFonts w:asciiTheme="minorHAnsi" w:hAnsiTheme="minorHAnsi" w:cstheme="minorHAnsi"/>
              </w:rPr>
              <w:t>linicians confiden</w:t>
            </w:r>
            <w:r>
              <w:rPr>
                <w:rFonts w:asciiTheme="minorHAnsi" w:hAnsiTheme="minorHAnsi" w:cstheme="minorHAnsi"/>
              </w:rPr>
              <w:t xml:space="preserve">ce; (ii) delaying switching, and requesting multiple VL tests due to expected lack of adherence causes; (iii) second-line treatment prescription decisions being centralised and/or a lack of task-shifting to </w:t>
            </w:r>
            <w:r w:rsidRPr="0037152C">
              <w:rPr>
                <w:rFonts w:asciiTheme="minorHAnsi" w:hAnsiTheme="minorHAnsi" w:cstheme="minorHAnsi"/>
              </w:rPr>
              <w:t xml:space="preserve">enable lower cadres </w:t>
            </w:r>
            <w:r>
              <w:rPr>
                <w:rFonts w:asciiTheme="minorHAnsi" w:hAnsiTheme="minorHAnsi" w:cstheme="minorHAnsi"/>
              </w:rPr>
              <w:t>second-line treatment prescribers; (iv) l</w:t>
            </w:r>
            <w:r w:rsidRPr="0037152C">
              <w:rPr>
                <w:rFonts w:asciiTheme="minorHAnsi" w:hAnsiTheme="minorHAnsi" w:cstheme="minorHAnsi"/>
              </w:rPr>
              <w:t>ack of access to second line drugs (</w:t>
            </w:r>
            <w:r>
              <w:rPr>
                <w:rFonts w:asciiTheme="minorHAnsi" w:hAnsiTheme="minorHAnsi" w:cstheme="minorHAnsi"/>
              </w:rPr>
              <w:t xml:space="preserve">i.e. </w:t>
            </w:r>
            <w:r w:rsidRPr="0037152C">
              <w:rPr>
                <w:rFonts w:asciiTheme="minorHAnsi" w:hAnsiTheme="minorHAnsi" w:cstheme="minorHAnsi"/>
              </w:rPr>
              <w:t>stock-outs)</w:t>
            </w:r>
            <w:r>
              <w:rPr>
                <w:rFonts w:asciiTheme="minorHAnsi" w:hAnsiTheme="minorHAnsi" w:cstheme="minorHAnsi"/>
              </w:rPr>
              <w:t xml:space="preserve"> and (v) perceptions that second line drugs are expensive and should be a ‘last resort’. </w:t>
            </w:r>
          </w:p>
          <w:p w14:paraId="35A06B42" w14:textId="77777777" w:rsidR="0020511D" w:rsidRDefault="0020511D" w:rsidP="0020511D">
            <w:pPr>
              <w:pStyle w:val="CEPATabletext"/>
              <w:rPr>
                <w:rFonts w:asciiTheme="minorHAnsi" w:hAnsiTheme="minorHAnsi" w:cstheme="minorHAnsi"/>
              </w:rPr>
            </w:pPr>
            <w:r>
              <w:rPr>
                <w:rFonts w:asciiTheme="minorHAnsi" w:hAnsiTheme="minorHAnsi" w:cstheme="minorHAnsi"/>
              </w:rPr>
              <w:t>Some of this was echoed in our country visits where we heard that previously MOH</w:t>
            </w:r>
            <w:r w:rsidRPr="00E8747D">
              <w:rPr>
                <w:rFonts w:asciiTheme="minorHAnsi" w:hAnsiTheme="minorHAnsi" w:cstheme="minorHAnsi"/>
              </w:rPr>
              <w:t xml:space="preserve"> perceive</w:t>
            </w:r>
            <w:r>
              <w:rPr>
                <w:rFonts w:asciiTheme="minorHAnsi" w:hAnsiTheme="minorHAnsi" w:cstheme="minorHAnsi"/>
              </w:rPr>
              <w:t>d</w:t>
            </w:r>
            <w:r w:rsidRPr="00E8747D">
              <w:rPr>
                <w:rFonts w:asciiTheme="minorHAnsi" w:hAnsiTheme="minorHAnsi" w:cstheme="minorHAnsi"/>
              </w:rPr>
              <w:t xml:space="preserve"> that the switch </w:t>
            </w:r>
            <w:r>
              <w:rPr>
                <w:rFonts w:asciiTheme="minorHAnsi" w:hAnsiTheme="minorHAnsi" w:cstheme="minorHAnsi"/>
              </w:rPr>
              <w:t>wa</w:t>
            </w:r>
            <w:r w:rsidRPr="00E8747D">
              <w:rPr>
                <w:rFonts w:asciiTheme="minorHAnsi" w:hAnsiTheme="minorHAnsi" w:cstheme="minorHAnsi"/>
              </w:rPr>
              <w:t>s happening too fast</w:t>
            </w:r>
            <w:r>
              <w:rPr>
                <w:rFonts w:asciiTheme="minorHAnsi" w:hAnsiTheme="minorHAnsi" w:cstheme="minorHAnsi"/>
              </w:rPr>
              <w:t>;</w:t>
            </w:r>
            <w:r w:rsidRPr="00E8747D">
              <w:rPr>
                <w:rFonts w:asciiTheme="minorHAnsi" w:hAnsiTheme="minorHAnsi" w:cstheme="minorHAnsi"/>
              </w:rPr>
              <w:t xml:space="preserve"> </w:t>
            </w:r>
            <w:r>
              <w:rPr>
                <w:rFonts w:asciiTheme="minorHAnsi" w:hAnsiTheme="minorHAnsi" w:cstheme="minorHAnsi"/>
              </w:rPr>
              <w:t xml:space="preserve">second </w:t>
            </w:r>
            <w:r w:rsidRPr="00E8747D">
              <w:rPr>
                <w:rFonts w:asciiTheme="minorHAnsi" w:hAnsiTheme="minorHAnsi" w:cstheme="minorHAnsi"/>
              </w:rPr>
              <w:t xml:space="preserve">line </w:t>
            </w:r>
            <w:r>
              <w:rPr>
                <w:rFonts w:asciiTheme="minorHAnsi" w:hAnsiTheme="minorHAnsi" w:cstheme="minorHAnsi"/>
              </w:rPr>
              <w:t xml:space="preserve">drugs are </w:t>
            </w:r>
            <w:r w:rsidRPr="00E8747D">
              <w:rPr>
                <w:rFonts w:asciiTheme="minorHAnsi" w:hAnsiTheme="minorHAnsi" w:cstheme="minorHAnsi"/>
              </w:rPr>
              <w:t>more toxi</w:t>
            </w:r>
            <w:r>
              <w:rPr>
                <w:rFonts w:asciiTheme="minorHAnsi" w:hAnsiTheme="minorHAnsi" w:cstheme="minorHAnsi"/>
              </w:rPr>
              <w:t xml:space="preserve">c and </w:t>
            </w:r>
            <w:r w:rsidRPr="00E8747D">
              <w:rPr>
                <w:rFonts w:asciiTheme="minorHAnsi" w:hAnsiTheme="minorHAnsi" w:cstheme="minorHAnsi"/>
              </w:rPr>
              <w:t>more expensive</w:t>
            </w:r>
            <w:r>
              <w:rPr>
                <w:rFonts w:asciiTheme="minorHAnsi" w:hAnsiTheme="minorHAnsi" w:cstheme="minorHAnsi"/>
              </w:rPr>
              <w:t xml:space="preserve"> and </w:t>
            </w:r>
            <w:r w:rsidRPr="001533E3">
              <w:rPr>
                <w:rFonts w:asciiTheme="minorHAnsi" w:hAnsiTheme="minorHAnsi" w:cstheme="minorHAnsi"/>
              </w:rPr>
              <w:t>that</w:t>
            </w:r>
            <w:r>
              <w:rPr>
                <w:rFonts w:asciiTheme="minorHAnsi" w:hAnsiTheme="minorHAnsi" w:cstheme="minorHAnsi"/>
              </w:rPr>
              <w:t xml:space="preserve"> </w:t>
            </w:r>
            <w:r w:rsidRPr="00E8747D">
              <w:rPr>
                <w:rFonts w:asciiTheme="minorHAnsi" w:hAnsiTheme="minorHAnsi" w:cstheme="minorHAnsi"/>
              </w:rPr>
              <w:t>patients do</w:t>
            </w:r>
            <w:r>
              <w:rPr>
                <w:rFonts w:asciiTheme="minorHAnsi" w:hAnsiTheme="minorHAnsi" w:cstheme="minorHAnsi"/>
              </w:rPr>
              <w:t xml:space="preserve"> no</w:t>
            </w:r>
            <w:r w:rsidRPr="00E8747D">
              <w:rPr>
                <w:rFonts w:asciiTheme="minorHAnsi" w:hAnsiTheme="minorHAnsi" w:cstheme="minorHAnsi"/>
              </w:rPr>
              <w:t>t like to switch</w:t>
            </w:r>
            <w:r>
              <w:rPr>
                <w:rFonts w:asciiTheme="minorHAnsi" w:hAnsiTheme="minorHAnsi" w:cstheme="minorHAnsi"/>
              </w:rPr>
              <w:t xml:space="preserve"> (Zimbabwe); challenges regarding second-line regimen quantification and associated supply (Malawi) and insufficient task shifting to lower cadres (Malawi and Zimbabwe).</w:t>
            </w:r>
          </w:p>
          <w:p w14:paraId="663FA49B" w14:textId="77777777" w:rsidR="0020511D" w:rsidRPr="007C6B71" w:rsidRDefault="0020511D" w:rsidP="0020511D">
            <w:pPr>
              <w:pStyle w:val="CEPATabletext"/>
              <w:rPr>
                <w:rFonts w:asciiTheme="minorHAnsi" w:hAnsiTheme="minorHAnsi" w:cstheme="minorHAnsi"/>
                <w:i/>
              </w:rPr>
            </w:pPr>
            <w:r>
              <w:rPr>
                <w:rFonts w:asciiTheme="minorHAnsi" w:hAnsiTheme="minorHAnsi" w:cstheme="minorHAnsi"/>
                <w:i/>
              </w:rPr>
              <w:t>Strategies to improve switching</w:t>
            </w:r>
          </w:p>
          <w:p w14:paraId="329AC226" w14:textId="77777777" w:rsidR="0020511D" w:rsidRDefault="0020511D" w:rsidP="0020511D">
            <w:pPr>
              <w:pStyle w:val="CEPATabletext"/>
              <w:rPr>
                <w:rFonts w:asciiTheme="minorHAnsi" w:hAnsiTheme="minorHAnsi" w:cstheme="minorHAnsi"/>
              </w:rPr>
            </w:pPr>
            <w:r>
              <w:rPr>
                <w:rFonts w:asciiTheme="minorHAnsi" w:hAnsiTheme="minorHAnsi" w:cstheme="minorHAnsi"/>
              </w:rPr>
              <w:t xml:space="preserve">The End of Project report summarises the interventions </w:t>
            </w:r>
            <w:r w:rsidRPr="00AE4FA8">
              <w:rPr>
                <w:rFonts w:asciiTheme="minorHAnsi" w:hAnsiTheme="minorHAnsi" w:cstheme="minorHAnsi"/>
              </w:rPr>
              <w:t xml:space="preserve">MSF </w:t>
            </w:r>
            <w:r>
              <w:rPr>
                <w:rFonts w:asciiTheme="minorHAnsi" w:hAnsiTheme="minorHAnsi" w:cstheme="minorHAnsi"/>
              </w:rPr>
              <w:t xml:space="preserve">undertook </w:t>
            </w:r>
            <w:r w:rsidRPr="00AE4FA8">
              <w:rPr>
                <w:rFonts w:asciiTheme="minorHAnsi" w:hAnsiTheme="minorHAnsi" w:cstheme="minorHAnsi"/>
              </w:rPr>
              <w:t xml:space="preserve"> to increase the </w:t>
            </w:r>
            <w:r>
              <w:rPr>
                <w:rFonts w:asciiTheme="minorHAnsi" w:hAnsiTheme="minorHAnsi" w:cstheme="minorHAnsi"/>
              </w:rPr>
              <w:t xml:space="preserve">second line </w:t>
            </w:r>
            <w:r w:rsidRPr="00AE4FA8">
              <w:rPr>
                <w:rFonts w:asciiTheme="minorHAnsi" w:hAnsiTheme="minorHAnsi" w:cstheme="minorHAnsi"/>
              </w:rPr>
              <w:t xml:space="preserve">switch rates </w:t>
            </w:r>
            <w:r>
              <w:rPr>
                <w:rFonts w:asciiTheme="minorHAnsi" w:hAnsiTheme="minorHAnsi" w:cstheme="minorHAnsi"/>
              </w:rPr>
              <w:t xml:space="preserve">which included: (i) </w:t>
            </w:r>
            <w:r w:rsidRPr="00AE4FA8">
              <w:rPr>
                <w:rFonts w:asciiTheme="minorHAnsi" w:hAnsiTheme="minorHAnsi" w:cstheme="minorHAnsi"/>
              </w:rPr>
              <w:t xml:space="preserve">M-health tools to </w:t>
            </w:r>
            <w:r>
              <w:rPr>
                <w:rFonts w:asciiTheme="minorHAnsi" w:hAnsiTheme="minorHAnsi" w:cstheme="minorHAnsi"/>
              </w:rPr>
              <w:t xml:space="preserve">aid </w:t>
            </w:r>
            <w:r w:rsidRPr="00AE4FA8">
              <w:rPr>
                <w:rFonts w:asciiTheme="minorHAnsi" w:hAnsiTheme="minorHAnsi" w:cstheme="minorHAnsi"/>
              </w:rPr>
              <w:t xml:space="preserve">information </w:t>
            </w:r>
            <w:r>
              <w:rPr>
                <w:rFonts w:asciiTheme="minorHAnsi" w:hAnsiTheme="minorHAnsi" w:cstheme="minorHAnsi"/>
              </w:rPr>
              <w:t>sharing and discussions to facilitate remote decision making; (ii) t</w:t>
            </w:r>
            <w:r w:rsidRPr="00E8747D">
              <w:rPr>
                <w:rFonts w:asciiTheme="minorHAnsi" w:hAnsiTheme="minorHAnsi" w:cstheme="minorHAnsi"/>
              </w:rPr>
              <w:t>raining of doctors at district level to make switch decision</w:t>
            </w:r>
            <w:r>
              <w:rPr>
                <w:rFonts w:asciiTheme="minorHAnsi" w:hAnsiTheme="minorHAnsi" w:cstheme="minorHAnsi"/>
              </w:rPr>
              <w:t>s</w:t>
            </w:r>
            <w:r w:rsidRPr="00E8747D">
              <w:rPr>
                <w:rFonts w:asciiTheme="minorHAnsi" w:hAnsiTheme="minorHAnsi" w:cstheme="minorHAnsi"/>
              </w:rPr>
              <w:t xml:space="preserve"> (Lesotho)</w:t>
            </w:r>
            <w:r>
              <w:rPr>
                <w:rFonts w:asciiTheme="minorHAnsi" w:hAnsiTheme="minorHAnsi" w:cstheme="minorHAnsi"/>
              </w:rPr>
              <w:t>; (iii) o</w:t>
            </w:r>
            <w:r w:rsidRPr="00E8747D">
              <w:rPr>
                <w:rFonts w:asciiTheme="minorHAnsi" w:hAnsiTheme="minorHAnsi" w:cstheme="minorHAnsi"/>
              </w:rPr>
              <w:t>ngoing training, mentorship, and provincial- and facility-level ART committees (Mozambique)</w:t>
            </w:r>
            <w:r>
              <w:rPr>
                <w:rFonts w:asciiTheme="minorHAnsi" w:hAnsiTheme="minorHAnsi" w:cstheme="minorHAnsi"/>
              </w:rPr>
              <w:t xml:space="preserve"> and (iv) integration of treatment reporting into routine M&amp;E to sensitise staff and strengthen approach to switching (Swaziland). </w:t>
            </w:r>
          </w:p>
          <w:p w14:paraId="7616FE99" w14:textId="77777777" w:rsidR="0020511D" w:rsidRPr="00E8747D" w:rsidRDefault="0020511D" w:rsidP="0020511D">
            <w:pPr>
              <w:pStyle w:val="CEPATabletext"/>
              <w:rPr>
                <w:rFonts w:asciiTheme="minorHAnsi" w:hAnsiTheme="minorHAnsi" w:cstheme="minorHAnsi"/>
              </w:rPr>
            </w:pPr>
            <w:r>
              <w:rPr>
                <w:rFonts w:asciiTheme="minorHAnsi" w:hAnsiTheme="minorHAnsi" w:cstheme="minorHAnsi"/>
              </w:rPr>
              <w:t xml:space="preserve">As reported in the End of Project report, and from our country visits, we learnt the following with regards to strategies for switching to second-line treatment:   </w:t>
            </w:r>
          </w:p>
          <w:p w14:paraId="6B3228C4" w14:textId="77777777" w:rsidR="0020511D" w:rsidRPr="00AE4FA8" w:rsidRDefault="0020511D" w:rsidP="0020511D">
            <w:pPr>
              <w:pStyle w:val="CEPATabletext"/>
              <w:numPr>
                <w:ilvl w:val="0"/>
                <w:numId w:val="23"/>
              </w:numPr>
              <w:rPr>
                <w:rFonts w:asciiTheme="minorHAnsi" w:hAnsiTheme="minorHAnsi" w:cstheme="minorHAnsi"/>
              </w:rPr>
            </w:pPr>
            <w:r w:rsidRPr="00AE4FA8">
              <w:rPr>
                <w:rFonts w:asciiTheme="minorHAnsi" w:hAnsiTheme="minorHAnsi" w:cstheme="minorHAnsi"/>
              </w:rPr>
              <w:t>In</w:t>
            </w:r>
            <w:r>
              <w:rPr>
                <w:rFonts w:asciiTheme="minorHAnsi" w:hAnsiTheme="minorHAnsi" w:cstheme="minorHAnsi"/>
              </w:rPr>
              <w:t xml:space="preserve"> Zimbabwe, providing training and mentoring increased the number of nurses who can be tasked with switching. For example. One nurse stated, </w:t>
            </w:r>
            <w:r w:rsidRPr="0065512F">
              <w:rPr>
                <w:rFonts w:asciiTheme="minorHAnsi" w:hAnsiTheme="minorHAnsi" w:cstheme="minorHAnsi"/>
              </w:rPr>
              <w:t>“if you are knowledgeable, you are confident. It’s eas</w:t>
            </w:r>
            <w:r>
              <w:rPr>
                <w:rFonts w:asciiTheme="minorHAnsi" w:hAnsiTheme="minorHAnsi" w:cstheme="minorHAnsi"/>
              </w:rPr>
              <w:t>y</w:t>
            </w:r>
            <w:r w:rsidRPr="0065512F">
              <w:rPr>
                <w:rFonts w:asciiTheme="minorHAnsi" w:hAnsiTheme="minorHAnsi" w:cstheme="minorHAnsi"/>
              </w:rPr>
              <w:t xml:space="preserve"> to switch patients because we have the information”.</w:t>
            </w:r>
            <w:r>
              <w:rPr>
                <w:rFonts w:asciiTheme="minorHAnsi" w:hAnsiTheme="minorHAnsi" w:cstheme="minorHAnsi"/>
              </w:rPr>
              <w:t xml:space="preserve"> Engagement, and obtaining support from the District Medical Officer has significantly impacted switching rates. </w:t>
            </w:r>
          </w:p>
          <w:p w14:paraId="7E52EAB3" w14:textId="77777777" w:rsidR="0020511D" w:rsidRDefault="0020511D" w:rsidP="0020511D">
            <w:pPr>
              <w:pStyle w:val="CEPATabletext"/>
              <w:numPr>
                <w:ilvl w:val="0"/>
                <w:numId w:val="23"/>
              </w:numPr>
              <w:rPr>
                <w:rFonts w:cs="Calibri"/>
              </w:rPr>
            </w:pPr>
            <w:r w:rsidRPr="00B27A14">
              <w:rPr>
                <w:rFonts w:asciiTheme="minorHAnsi" w:hAnsiTheme="minorHAnsi" w:cstheme="minorHAnsi"/>
              </w:rPr>
              <w:t>In Malawi, MSF developed a mentorship programme and a national second line examination which if passed, enables clinicians and nurses to be certified, thus enabling task shifting.</w:t>
            </w:r>
            <w:r>
              <w:rPr>
                <w:rFonts w:cs="Calibri"/>
              </w:rPr>
              <w:t xml:space="preserve"> </w:t>
            </w:r>
            <w:r w:rsidRPr="00B27A14">
              <w:rPr>
                <w:rFonts w:cs="Calibri"/>
              </w:rPr>
              <w:t>Systems alerting HCWs to high results were also utilised to prompt switching</w:t>
            </w:r>
            <w:r>
              <w:rPr>
                <w:rFonts w:cs="Calibri"/>
              </w:rPr>
              <w:t>.</w:t>
            </w:r>
          </w:p>
          <w:p w14:paraId="4E02CCD6" w14:textId="77777777" w:rsidR="0020511D" w:rsidRDefault="0020511D" w:rsidP="0020511D">
            <w:pPr>
              <w:pStyle w:val="CEPATabletext"/>
              <w:numPr>
                <w:ilvl w:val="0"/>
                <w:numId w:val="23"/>
              </w:numPr>
              <w:rPr>
                <w:rFonts w:cs="Calibri"/>
              </w:rPr>
            </w:pPr>
            <w:r>
              <w:rPr>
                <w:rFonts w:cs="Calibri"/>
              </w:rPr>
              <w:t>In Chiradzulu, POC testing contributed significantly to achievement of the highest switching rate in the project b</w:t>
            </w:r>
            <w:r w:rsidRPr="008E4390">
              <w:rPr>
                <w:rFonts w:cs="Calibri"/>
              </w:rPr>
              <w:t xml:space="preserve">ecause </w:t>
            </w:r>
            <w:r>
              <w:rPr>
                <w:rFonts w:cs="Calibri"/>
              </w:rPr>
              <w:t>of “the</w:t>
            </w:r>
            <w:r w:rsidRPr="008E4390">
              <w:rPr>
                <w:rFonts w:cs="Calibri"/>
              </w:rPr>
              <w:t xml:space="preserve"> quick, and high coverage of VL testing, able to highlight </w:t>
            </w:r>
            <w:r>
              <w:rPr>
                <w:rFonts w:cs="Calibri"/>
              </w:rPr>
              <w:t xml:space="preserve">the </w:t>
            </w:r>
            <w:r w:rsidRPr="008E4390">
              <w:rPr>
                <w:rFonts w:cs="Calibri"/>
              </w:rPr>
              <w:t xml:space="preserve">high need for switching to </w:t>
            </w:r>
            <w:r>
              <w:rPr>
                <w:rFonts w:cs="Calibri"/>
              </w:rPr>
              <w:t>second</w:t>
            </w:r>
            <w:r w:rsidRPr="008E4390">
              <w:rPr>
                <w:rFonts w:cs="Calibri"/>
              </w:rPr>
              <w:t xml:space="preserve"> line</w:t>
            </w:r>
            <w:r>
              <w:rPr>
                <w:rFonts w:cs="Calibri"/>
              </w:rPr>
              <w:t>”, and as noted for further reasons noted Section 3.3.</w:t>
            </w:r>
          </w:p>
          <w:p w14:paraId="3BE0A19F" w14:textId="7AADB0B5" w:rsidR="0020511D" w:rsidRPr="006E52A9" w:rsidRDefault="0020511D" w:rsidP="0020511D">
            <w:pPr>
              <w:pStyle w:val="CEPATabletext"/>
              <w:numPr>
                <w:ilvl w:val="0"/>
                <w:numId w:val="23"/>
              </w:numPr>
            </w:pPr>
            <w:r>
              <w:rPr>
                <w:rFonts w:cs="Calibri"/>
              </w:rPr>
              <w:t>In both Malawi and Zimbabwe, the project helped with quantification for second</w:t>
            </w:r>
            <w:r w:rsidR="005920F4">
              <w:rPr>
                <w:rFonts w:cs="Calibri"/>
              </w:rPr>
              <w:t>-</w:t>
            </w:r>
            <w:r>
              <w:rPr>
                <w:rFonts w:cs="Calibri"/>
              </w:rPr>
              <w:t>line drugs.</w:t>
            </w:r>
          </w:p>
        </w:tc>
      </w:tr>
    </w:tbl>
    <w:p w14:paraId="4272B00A" w14:textId="2AD474D3" w:rsidR="00FB6065" w:rsidRDefault="00FB6065" w:rsidP="00FB6065">
      <w:pPr>
        <w:pStyle w:val="CEPAReportText"/>
      </w:pPr>
      <w:r>
        <w:t xml:space="preserve">Despite the relatively low achievements in </w:t>
      </w:r>
      <w:r w:rsidR="004A077A">
        <w:t xml:space="preserve">second </w:t>
      </w:r>
      <w:r>
        <w:t xml:space="preserve">line switching, for those patients who did receive </w:t>
      </w:r>
      <w:r w:rsidR="00093AAF">
        <w:t>second-line treatment</w:t>
      </w:r>
      <w:r>
        <w:t xml:space="preserve">, or who were able to achieve viral suppression after </w:t>
      </w:r>
      <w:r w:rsidR="009D739F">
        <w:t>EAC</w:t>
      </w:r>
      <w:r>
        <w:t>, the following benefits were noted:</w:t>
      </w:r>
    </w:p>
    <w:p w14:paraId="44D844C0" w14:textId="424C30E9" w:rsidR="00FB6065" w:rsidRDefault="00FB6065" w:rsidP="009D403D">
      <w:pPr>
        <w:pStyle w:val="CEPABullets"/>
      </w:pPr>
      <w:r>
        <w:t>Viral suppression has numerous benefits including improving morbidity, mortality and quality of life.</w:t>
      </w:r>
    </w:p>
    <w:p w14:paraId="37D260C7" w14:textId="77777777" w:rsidR="00FB6065" w:rsidRDefault="00FB6065" w:rsidP="00FB6065">
      <w:pPr>
        <w:pStyle w:val="CEPABullets"/>
      </w:pPr>
      <w:r>
        <w:t xml:space="preserve">In addition, viral suppression, particularly to a lower than detectable level, significantly reduces the likelihood of HIV transmission (a particularly </w:t>
      </w:r>
      <w:r w:rsidRPr="00CF1F08">
        <w:t xml:space="preserve">important consideration for discordant couples who want to have children).  </w:t>
      </w:r>
    </w:p>
    <w:p w14:paraId="1CD782C5" w14:textId="7E2A5860" w:rsidR="00FB6065" w:rsidRDefault="00FB6065" w:rsidP="00FB6065">
      <w:pPr>
        <w:pStyle w:val="CEPABullets"/>
      </w:pPr>
      <w:r>
        <w:t xml:space="preserve">In the case of children and adolescents, the positives were particularly pronounced given the higher needs for closer monitoring and treatment (as noted above). </w:t>
      </w:r>
    </w:p>
    <w:p w14:paraId="481B45C1" w14:textId="60F23105" w:rsidR="008E4390" w:rsidRDefault="008E4390" w:rsidP="00132466">
      <w:pPr>
        <w:pStyle w:val="CEPABullets"/>
        <w:numPr>
          <w:ilvl w:val="0"/>
          <w:numId w:val="0"/>
        </w:numPr>
        <w:tabs>
          <w:tab w:val="right" w:pos="9026"/>
        </w:tabs>
      </w:pPr>
      <w:r>
        <w:t xml:space="preserve">Box 4.2. further notes positive feedback from HCWs. </w:t>
      </w:r>
      <w:r w:rsidR="00132466">
        <w:tab/>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5E5E5" w:themeFill="accent1" w:themeFillTint="33"/>
        <w:tblLook w:val="04A0" w:firstRow="1" w:lastRow="0" w:firstColumn="1" w:lastColumn="0" w:noHBand="0" w:noVBand="1"/>
      </w:tblPr>
      <w:tblGrid>
        <w:gridCol w:w="9016"/>
      </w:tblGrid>
      <w:tr w:rsidR="009D403D" w:rsidRPr="00CF05BA" w14:paraId="63FCFC73" w14:textId="77777777" w:rsidTr="009D403D">
        <w:trPr>
          <w:tblHeader/>
        </w:trPr>
        <w:tc>
          <w:tcPr>
            <w:tcW w:w="5000" w:type="pct"/>
            <w:shd w:val="clear" w:color="auto" w:fill="E5E5E5" w:themeFill="accent1" w:themeFillTint="33"/>
          </w:tcPr>
          <w:p w14:paraId="2CBE2252" w14:textId="468B2293" w:rsidR="009D403D" w:rsidRPr="00CF05BA" w:rsidRDefault="009D403D" w:rsidP="009D403D">
            <w:pPr>
              <w:pStyle w:val="CEPATabletext"/>
              <w:rPr>
                <w:b/>
              </w:rPr>
            </w:pPr>
            <w:r w:rsidRPr="00CF05BA">
              <w:rPr>
                <w:b/>
              </w:rPr>
              <w:t>Box 4.</w:t>
            </w:r>
            <w:r>
              <w:rPr>
                <w:b/>
              </w:rPr>
              <w:t>2</w:t>
            </w:r>
            <w:r w:rsidRPr="00CF05BA">
              <w:rPr>
                <w:b/>
              </w:rPr>
              <w:t xml:space="preserve">: </w:t>
            </w:r>
            <w:r w:rsidR="001533E3">
              <w:rPr>
                <w:b/>
              </w:rPr>
              <w:t xml:space="preserve">Select quotes from HCWs on benefits of VL monitoring </w:t>
            </w:r>
          </w:p>
          <w:p w14:paraId="2A5A3490" w14:textId="3ACEF8C4" w:rsidR="009D403D" w:rsidRPr="008E4390" w:rsidRDefault="009D403D" w:rsidP="009D403D">
            <w:pPr>
              <w:pStyle w:val="CEPAtabbullets"/>
              <w:rPr>
                <w:sz w:val="22"/>
                <w:szCs w:val="22"/>
              </w:rPr>
            </w:pPr>
            <w:r w:rsidRPr="004B3314">
              <w:rPr>
                <w:sz w:val="22"/>
                <w:szCs w:val="22"/>
              </w:rPr>
              <w:t>Health facility staff in Malawi and Zimbabwe were very positive about the effects of VL testing and VL s</w:t>
            </w:r>
            <w:r w:rsidRPr="008E4390">
              <w:rPr>
                <w:sz w:val="22"/>
                <w:szCs w:val="22"/>
              </w:rPr>
              <w:t>uppression. The following comments were made:</w:t>
            </w:r>
          </w:p>
          <w:p w14:paraId="2F3E712A" w14:textId="2742267E" w:rsidR="009D403D" w:rsidRPr="008E4390" w:rsidRDefault="009D403D" w:rsidP="00846486">
            <w:pPr>
              <w:pStyle w:val="CEPATabletext"/>
              <w:numPr>
                <w:ilvl w:val="0"/>
                <w:numId w:val="22"/>
              </w:numPr>
              <w:rPr>
                <w:rFonts w:cs="Calibri"/>
                <w:szCs w:val="22"/>
              </w:rPr>
            </w:pPr>
            <w:r w:rsidRPr="008E4390">
              <w:rPr>
                <w:rFonts w:cs="Calibri"/>
                <w:szCs w:val="22"/>
              </w:rPr>
              <w:t xml:space="preserve">“The public health impact of the MSF project is significant. To a large extent, the MOH used to use immunological and clinical monitoring to switch patients to </w:t>
            </w:r>
            <w:r w:rsidR="00093AAF">
              <w:rPr>
                <w:rFonts w:cs="Calibri"/>
                <w:szCs w:val="22"/>
              </w:rPr>
              <w:t>second-line treatment</w:t>
            </w:r>
            <w:r w:rsidRPr="008E4390">
              <w:rPr>
                <w:rFonts w:cs="Calibri"/>
                <w:szCs w:val="22"/>
              </w:rPr>
              <w:t xml:space="preserve">. Learning from MSF’s experiences in remote districts, we discovered that we switched patients unnecessarily; and then we had problems with their adherence. VL testing ensures that patients are ready to be switched – after all, second line medicines are very expensive compared to first line so we don’t want to prescribe them unnecessarily” </w:t>
            </w:r>
          </w:p>
          <w:p w14:paraId="13006E9D" w14:textId="6F05506A" w:rsidR="009D403D" w:rsidRPr="00B27A14" w:rsidRDefault="009D403D" w:rsidP="00846486">
            <w:pPr>
              <w:pStyle w:val="CEPATabletext"/>
              <w:numPr>
                <w:ilvl w:val="0"/>
                <w:numId w:val="22"/>
              </w:numPr>
              <w:rPr>
                <w:rFonts w:cs="Calibri"/>
                <w:szCs w:val="22"/>
              </w:rPr>
            </w:pPr>
            <w:r w:rsidRPr="00B27A14">
              <w:rPr>
                <w:rFonts w:cs="Calibri"/>
                <w:szCs w:val="22"/>
              </w:rPr>
              <w:t>“We now see children looking well”</w:t>
            </w:r>
          </w:p>
          <w:p w14:paraId="2D8F8FAF" w14:textId="7B7BE1AA" w:rsidR="00B27A14" w:rsidRDefault="009D403D" w:rsidP="00846486">
            <w:pPr>
              <w:pStyle w:val="CEPATabletext"/>
              <w:numPr>
                <w:ilvl w:val="0"/>
                <w:numId w:val="22"/>
              </w:numPr>
              <w:rPr>
                <w:rFonts w:cs="Calibri"/>
                <w:szCs w:val="22"/>
              </w:rPr>
            </w:pPr>
            <w:r w:rsidRPr="00B27A14">
              <w:rPr>
                <w:rFonts w:cs="Calibri"/>
                <w:szCs w:val="22"/>
              </w:rPr>
              <w:t>“</w:t>
            </w:r>
            <w:r w:rsidR="00431BC1">
              <w:rPr>
                <w:rFonts w:cs="Calibri"/>
                <w:szCs w:val="22"/>
              </w:rPr>
              <w:t>W</w:t>
            </w:r>
            <w:r w:rsidRPr="00B27A14">
              <w:rPr>
                <w:rFonts w:cs="Calibri"/>
                <w:szCs w:val="22"/>
              </w:rPr>
              <w:t>e now rarely seeing very sick patients or patients with opportunistic infections”</w:t>
            </w:r>
          </w:p>
          <w:p w14:paraId="11D99A31" w14:textId="05DB6BDA" w:rsidR="009D403D" w:rsidRPr="00CF05BA" w:rsidRDefault="009D403D" w:rsidP="00846486">
            <w:pPr>
              <w:pStyle w:val="CEPATabletext"/>
              <w:numPr>
                <w:ilvl w:val="0"/>
                <w:numId w:val="22"/>
              </w:numPr>
              <w:rPr>
                <w:i/>
              </w:rPr>
            </w:pPr>
            <w:r w:rsidRPr="00B27A14">
              <w:rPr>
                <w:rFonts w:cs="Calibri"/>
                <w:szCs w:val="22"/>
              </w:rPr>
              <w:t>“Patients are no</w:t>
            </w:r>
            <w:r w:rsidR="00A3505E">
              <w:rPr>
                <w:rFonts w:cs="Calibri"/>
                <w:szCs w:val="22"/>
              </w:rPr>
              <w:t>t</w:t>
            </w:r>
            <w:r w:rsidRPr="00B27A14">
              <w:rPr>
                <w:rFonts w:cs="Calibri"/>
                <w:szCs w:val="22"/>
              </w:rPr>
              <w:t xml:space="preserve"> just l</w:t>
            </w:r>
            <w:r w:rsidR="00A3505E">
              <w:rPr>
                <w:rFonts w:cs="Calibri"/>
                <w:szCs w:val="22"/>
              </w:rPr>
              <w:t>i</w:t>
            </w:r>
            <w:r w:rsidRPr="00B27A14">
              <w:rPr>
                <w:rFonts w:cs="Calibri"/>
                <w:szCs w:val="22"/>
              </w:rPr>
              <w:t>ving longer but also have a better quality of life”</w:t>
            </w:r>
          </w:p>
        </w:tc>
      </w:tr>
    </w:tbl>
    <w:p w14:paraId="249674B3" w14:textId="635E1689" w:rsidR="00491A46" w:rsidRPr="000D5A28" w:rsidRDefault="001533E3" w:rsidP="00491A46">
      <w:pPr>
        <w:pStyle w:val="CEPAReportText"/>
      </w:pPr>
      <w:r>
        <w:t>In addition</w:t>
      </w:r>
      <w:r w:rsidR="00CF05BA">
        <w:t>, c</w:t>
      </w:r>
      <w:r w:rsidR="00491A46">
        <w:t xml:space="preserve">onsultations have indicated that </w:t>
      </w:r>
      <w:r w:rsidR="00491A46" w:rsidRPr="00035D36">
        <w:t>VL scale up has also provided important clinical data on HIV treatment in pr</w:t>
      </w:r>
      <w:r w:rsidR="00491A46">
        <w:t>oject countries, identifying problems and research needs. For example, Mozambique has the highest proportion of PLHIV with a detectable VL (</w:t>
      </w:r>
      <w:r w:rsidR="00431BC1">
        <w:t>27</w:t>
      </w:r>
      <w:r w:rsidR="00491A46">
        <w:t xml:space="preserve">-40% in certain districts compared to </w:t>
      </w:r>
      <w:r w:rsidR="00431BC1">
        <w:t>9</w:t>
      </w:r>
      <w:r w:rsidR="00491A46">
        <w:t>-2</w:t>
      </w:r>
      <w:r w:rsidR="00431BC1">
        <w:t>1</w:t>
      </w:r>
      <w:r w:rsidR="00491A46">
        <w:t>% in other project countries).</w:t>
      </w:r>
      <w:r w:rsidR="000C37F0">
        <w:rPr>
          <w:rStyle w:val="FootnoteReference"/>
        </w:rPr>
        <w:footnoteReference w:id="89"/>
      </w:r>
      <w:r w:rsidR="00491A46">
        <w:t xml:space="preserve"> Across </w:t>
      </w:r>
      <w:r w:rsidR="00CF05BA">
        <w:t>nine</w:t>
      </w:r>
      <w:r w:rsidR="00491A46">
        <w:t xml:space="preserve"> MSF sites, all sites, except</w:t>
      </w:r>
      <w:r w:rsidR="00491A46" w:rsidRPr="00010189">
        <w:t xml:space="preserve"> </w:t>
      </w:r>
      <w:r w:rsidR="00491A46">
        <w:t>Swaziland, children less than 15 years had the highest percentage of viral failure, with adolescents and young adults (15-25 years) experiencing the next highest level, followed by adults.</w:t>
      </w:r>
      <w:r w:rsidR="00491A46">
        <w:rPr>
          <w:rStyle w:val="FootnoteReference"/>
        </w:rPr>
        <w:footnoteReference w:id="90"/>
      </w:r>
      <w:r w:rsidR="00491A46" w:rsidRPr="00491A46">
        <w:rPr>
          <w:vertAlign w:val="superscript"/>
        </w:rPr>
        <w:t>,</w:t>
      </w:r>
      <w:r w:rsidR="00491A46">
        <w:rPr>
          <w:rStyle w:val="FootnoteReference"/>
        </w:rPr>
        <w:footnoteReference w:id="91"/>
      </w:r>
      <w:r w:rsidR="00491A46">
        <w:t xml:space="preserve"> Without increased VL testing, this discovery would not have been made, and it has led to research into whether this is attributable to a drug-resistant HIV strain. Furthermore, whilst not common, i</w:t>
      </w:r>
      <w:r w:rsidR="00491A46" w:rsidRPr="000D5A28">
        <w:t xml:space="preserve">n select instances in Zimbabwe, </w:t>
      </w:r>
      <w:r w:rsidR="009D739F">
        <w:t>VL</w:t>
      </w:r>
      <w:r w:rsidR="00491A46" w:rsidRPr="000D5A28">
        <w:t xml:space="preserve"> testing also shed light on when patients were being switched unnecessarily.</w:t>
      </w:r>
    </w:p>
    <w:p w14:paraId="340867E6" w14:textId="7F61F203" w:rsidR="007505FC" w:rsidRDefault="00CF05BA" w:rsidP="00CF05BA">
      <w:pPr>
        <w:pStyle w:val="CEPAReportText"/>
      </w:pPr>
      <w:r>
        <w:t xml:space="preserve">Finally, feedback indicates that if </w:t>
      </w:r>
      <w:r w:rsidR="00FB6065" w:rsidRPr="00312BF5">
        <w:t xml:space="preserve">MSF had not initiated </w:t>
      </w:r>
      <w:r w:rsidR="00FB6065">
        <w:t>routine</w:t>
      </w:r>
      <w:r w:rsidR="00FB6065" w:rsidRPr="00312BF5">
        <w:t xml:space="preserve"> VL testing, it is probable that VL testing would have arrived </w:t>
      </w:r>
      <w:r w:rsidR="00FB6065">
        <w:t xml:space="preserve">in those districts at a later stage, </w:t>
      </w:r>
      <w:r w:rsidR="00FB6065" w:rsidRPr="00312BF5">
        <w:t>thus resulting in higher morbidity and mortality</w:t>
      </w:r>
      <w:r w:rsidR="00FB6065">
        <w:t xml:space="preserve"> for those PLHIV with persistent viraemia, and increased number of infections during that time. </w:t>
      </w:r>
    </w:p>
    <w:p w14:paraId="6B8E6695" w14:textId="2D1A5502" w:rsidR="00887750" w:rsidRDefault="00887750" w:rsidP="00AB6C6A">
      <w:pPr>
        <w:pStyle w:val="Heading4"/>
      </w:pPr>
      <w:r>
        <w:t>Estimations regarding direct and indirect impact of the project</w:t>
      </w:r>
    </w:p>
    <w:p w14:paraId="2246C9E9" w14:textId="1DC44E09" w:rsidR="00887750" w:rsidRDefault="00887750" w:rsidP="00887750">
      <w:pPr>
        <w:pStyle w:val="CEPAReportText"/>
      </w:pPr>
      <w:r>
        <w:rPr>
          <w:rFonts w:eastAsia="Calibri" w:cs="Calibri"/>
        </w:rPr>
        <w:t>Based on available project data and drawing on key research studies, a</w:t>
      </w:r>
      <w:r w:rsidRPr="004B7CD6">
        <w:rPr>
          <w:rFonts w:eastAsia="Calibri" w:cs="Calibri"/>
        </w:rPr>
        <w:t xml:space="preserve"> brief indication of the public health impact of the</w:t>
      </w:r>
      <w:r w:rsidRPr="00587B68">
        <w:rPr>
          <w:rFonts w:eastAsia="Calibri" w:cs="Calibri"/>
        </w:rPr>
        <w:t xml:space="preserve"> VL testing component of the</w:t>
      </w:r>
      <w:r w:rsidRPr="004B7CD6">
        <w:rPr>
          <w:rFonts w:eastAsia="Calibri" w:cs="Calibri"/>
        </w:rPr>
        <w:t xml:space="preserve"> project has been provided</w:t>
      </w:r>
      <w:r>
        <w:rPr>
          <w:rFonts w:eastAsia="Calibri" w:cs="Calibri"/>
        </w:rPr>
        <w:t xml:space="preserve"> regarding the direct impact (through the project) and indirect (assuming scale up on routine VL coverage in project countries).</w:t>
      </w:r>
      <w:r w:rsidRPr="004B7CD6">
        <w:rPr>
          <w:rFonts w:eastAsia="Calibri" w:cs="Calibri"/>
        </w:rPr>
        <w:t xml:space="preserve"> </w:t>
      </w:r>
      <w:r w:rsidRPr="00CB4D8A">
        <w:rPr>
          <w:rFonts w:eastAsia="Calibri" w:cs="Calibri"/>
        </w:rPr>
        <w:t>We note that this data should be interpreted with extreme caution as it is based on crude data and assumptions.</w:t>
      </w:r>
      <w:r w:rsidR="00341CB6">
        <w:rPr>
          <w:rFonts w:eastAsia="Calibri" w:cs="Calibri"/>
        </w:rPr>
        <w:t xml:space="preserve"> </w:t>
      </w:r>
      <w:r w:rsidR="00341CB6">
        <w:t>Annex J provides further details.</w:t>
      </w:r>
    </w:p>
    <w:p w14:paraId="10BCAE4A" w14:textId="27AF6690" w:rsidR="00887750" w:rsidRDefault="00E7231A" w:rsidP="00887750">
      <w:pPr>
        <w:pStyle w:val="CEPAReportText"/>
      </w:pPr>
      <w:r>
        <w:t>With regards to</w:t>
      </w:r>
      <w:r w:rsidR="00887750">
        <w:t xml:space="preserve"> the </w:t>
      </w:r>
      <w:r w:rsidR="00887750" w:rsidRPr="00AB6C6A">
        <w:rPr>
          <w:b/>
        </w:rPr>
        <w:t xml:space="preserve">direct impact </w:t>
      </w:r>
      <w:r w:rsidR="00887750">
        <w:t xml:space="preserve">of the project, </w:t>
      </w:r>
      <w:r>
        <w:t xml:space="preserve">using a study by </w:t>
      </w:r>
      <w:r w:rsidR="00887750">
        <w:t>Keiser et al.</w:t>
      </w:r>
      <w:r w:rsidR="00887750" w:rsidRPr="00A105C9">
        <w:t xml:space="preserve"> </w:t>
      </w:r>
      <w:r w:rsidR="00887750">
        <w:t xml:space="preserve">(2010) </w:t>
      </w:r>
      <w:r w:rsidR="00887750" w:rsidRPr="00A105C9">
        <w:t>assess</w:t>
      </w:r>
      <w:r>
        <w:t>ing</w:t>
      </w:r>
      <w:r w:rsidR="00887750" w:rsidRPr="00A105C9">
        <w:t xml:space="preserve"> the mortality at </w:t>
      </w:r>
      <w:r w:rsidR="00887750">
        <w:t>one</w:t>
      </w:r>
      <w:r w:rsidR="00887750" w:rsidRPr="00A105C9">
        <w:t xml:space="preserve"> year of patients switching to </w:t>
      </w:r>
      <w:r w:rsidR="00887750">
        <w:t>second-line regimen (4.2%)</w:t>
      </w:r>
      <w:r w:rsidR="00887750" w:rsidRPr="00A105C9">
        <w:t>, in com</w:t>
      </w:r>
      <w:r w:rsidR="00887750">
        <w:t>p</w:t>
      </w:r>
      <w:r w:rsidR="00887750" w:rsidRPr="00A105C9">
        <w:t>arison to those who remained failing first-line regimen</w:t>
      </w:r>
      <w:r w:rsidR="00887750">
        <w:t xml:space="preserve"> (11.7%) in sub-Saharan Africa</w:t>
      </w:r>
      <w:r w:rsidR="00887750" w:rsidRPr="00A105C9">
        <w:t>,</w:t>
      </w:r>
      <w:r w:rsidR="00887750">
        <w:t xml:space="preserve"> it can be estimated that</w:t>
      </w:r>
      <w:r w:rsidR="00887750" w:rsidRPr="00A105C9">
        <w:t xml:space="preserve"> </w:t>
      </w:r>
      <w:r w:rsidR="00887750">
        <w:t>there were 363 deaths averted at one year due to 4,839 people switching to second-line treatment during the project.</w:t>
      </w:r>
      <w:r w:rsidR="00887750">
        <w:rPr>
          <w:rStyle w:val="FootnoteReference"/>
        </w:rPr>
        <w:footnoteReference w:id="92"/>
      </w:r>
      <w:r w:rsidR="00887750">
        <w:rPr>
          <w:vertAlign w:val="superscript"/>
        </w:rPr>
        <w:t xml:space="preserve">, </w:t>
      </w:r>
      <w:r w:rsidR="00887750">
        <w:rPr>
          <w:rStyle w:val="FootnoteReference"/>
        </w:rPr>
        <w:footnoteReference w:id="93"/>
      </w:r>
      <w:r w:rsidR="00887750">
        <w:rPr>
          <w:vertAlign w:val="superscript"/>
        </w:rPr>
        <w:t xml:space="preserve"> </w:t>
      </w:r>
    </w:p>
    <w:p w14:paraId="7E16545D" w14:textId="122690EF" w:rsidR="00887750" w:rsidRDefault="00887750" w:rsidP="00887750">
      <w:pPr>
        <w:pStyle w:val="CEPAReportText"/>
      </w:pPr>
      <w:r>
        <w:t xml:space="preserve">Keiser et al (2011) note the benefits from routine VL monitoring beyond just switching to second-line treatment, and that at three years post routine VL coverage, </w:t>
      </w:r>
      <w:r w:rsidRPr="003E29DA">
        <w:t>4.3% (</w:t>
      </w:r>
      <w:r>
        <w:t xml:space="preserve">CI </w:t>
      </w:r>
      <w:r w:rsidRPr="003E29DA">
        <w:t>3.9</w:t>
      </w:r>
      <w:r w:rsidR="00336FE8">
        <w:t xml:space="preserve"> </w:t>
      </w:r>
      <w:r w:rsidRPr="003E29DA">
        <w:t>–</w:t>
      </w:r>
      <w:r w:rsidR="00336FE8">
        <w:t xml:space="preserve"> </w:t>
      </w:r>
      <w:r w:rsidRPr="003E29DA">
        <w:t>4.8%) had died</w:t>
      </w:r>
      <w:r>
        <w:t xml:space="preserve"> in comparison to </w:t>
      </w:r>
      <w:r w:rsidRPr="003E29DA">
        <w:t>6.3%</w:t>
      </w:r>
      <w:r>
        <w:t xml:space="preserve"> (CI </w:t>
      </w:r>
      <w:r w:rsidRPr="003E29DA">
        <w:t>6.0</w:t>
      </w:r>
      <w:r w:rsidR="00336FE8">
        <w:t xml:space="preserve"> </w:t>
      </w:r>
      <w:r w:rsidRPr="003E29DA">
        <w:t>–</w:t>
      </w:r>
      <w:r w:rsidR="00336FE8">
        <w:t xml:space="preserve"> </w:t>
      </w:r>
      <w:r w:rsidRPr="003E29DA">
        <w:t>6.5%)</w:t>
      </w:r>
      <w:r>
        <w:t xml:space="preserve"> who died in settings without routine VL coverage.</w:t>
      </w:r>
      <w:r>
        <w:rPr>
          <w:rStyle w:val="FootnoteReference"/>
        </w:rPr>
        <w:footnoteReference w:id="94"/>
      </w:r>
      <w:r>
        <w:t xml:space="preserve"> Therefore the estimated direct impact of the project at three years post increasing VL testing coverage is that an estimated 2,579 </w:t>
      </w:r>
      <w:r w:rsidR="00D87B58">
        <w:t>(CI 2,192 – 2,708)</w:t>
      </w:r>
      <w:r>
        <w:t xml:space="preserve"> </w:t>
      </w:r>
      <w:r w:rsidR="00FA6FC6">
        <w:t xml:space="preserve">deaths </w:t>
      </w:r>
      <w:r>
        <w:t>were averted, in comparison to VL testing coverage not having been scaled up.</w:t>
      </w:r>
      <w:r>
        <w:rPr>
          <w:rStyle w:val="FootnoteReference"/>
        </w:rPr>
        <w:footnoteReference w:id="95"/>
      </w:r>
      <w:r>
        <w:t xml:space="preserve">   </w:t>
      </w:r>
    </w:p>
    <w:p w14:paraId="39AF6FCB" w14:textId="6C92E53B" w:rsidR="00887750" w:rsidRDefault="00D87B58" w:rsidP="00887750">
      <w:pPr>
        <w:pStyle w:val="CEPAReportText"/>
      </w:pPr>
      <w:r>
        <w:t xml:space="preserve">Given the nature of the project being focused on demonstrating feasibility of VL testing, the potential indirect impact may be seen as being of more of particular relevance, rather than the direct health impact through the project. </w:t>
      </w:r>
      <w:r w:rsidR="00887750" w:rsidRPr="008620E2">
        <w:t xml:space="preserve">Regarding the </w:t>
      </w:r>
      <w:r w:rsidR="00887750" w:rsidRPr="00AB6C6A">
        <w:rPr>
          <w:b/>
        </w:rPr>
        <w:t>indirect impact</w:t>
      </w:r>
      <w:r w:rsidR="00887750" w:rsidRPr="008620E2">
        <w:t xml:space="preserve"> of the project, it is estimated that if VL testing is scaled up to the level of South Africa’s routine VL coverage</w:t>
      </w:r>
      <w:r w:rsidR="00E7231A">
        <w:t xml:space="preserve"> in project countries</w:t>
      </w:r>
      <w:r w:rsidR="00887750" w:rsidRPr="008620E2">
        <w:t xml:space="preserve">, then 82,000 </w:t>
      </w:r>
      <w:r w:rsidR="00E26F99">
        <w:t>(CI 69,700</w:t>
      </w:r>
      <w:r w:rsidR="00336FE8">
        <w:t xml:space="preserve"> </w:t>
      </w:r>
      <w:r w:rsidR="00E26F99">
        <w:t>-</w:t>
      </w:r>
      <w:r w:rsidR="00336FE8">
        <w:t xml:space="preserve"> </w:t>
      </w:r>
      <w:r w:rsidR="00E26F99">
        <w:t xml:space="preserve">86,100) </w:t>
      </w:r>
      <w:r w:rsidR="00887750" w:rsidRPr="008620E2">
        <w:t>additional deaths will be averted in three years, in comparison to not having routine VL testing.</w:t>
      </w:r>
      <w:r w:rsidR="00E7231A">
        <w:rPr>
          <w:rStyle w:val="FootnoteReference"/>
        </w:rPr>
        <w:footnoteReference w:id="96"/>
      </w:r>
      <w:r w:rsidR="00887750" w:rsidRPr="008620E2">
        <w:t xml:space="preserve"> Furthermore, assuming that PLHIV on ART in project countries receive routine VL testing, it was estimated that an additional 2</w:t>
      </w:r>
      <w:r w:rsidR="00256E27">
        <w:t>,</w:t>
      </w:r>
      <w:r w:rsidR="00887750" w:rsidRPr="008620E2">
        <w:t>700 deaths may be averted</w:t>
      </w:r>
      <w:r w:rsidR="00256E27">
        <w:t xml:space="preserve"> after one year</w:t>
      </w:r>
      <w:r w:rsidR="00887750" w:rsidRPr="008620E2">
        <w:t xml:space="preserve"> due to switching to second line treatment.</w:t>
      </w:r>
      <w:r w:rsidR="00887750">
        <w:rPr>
          <w:rStyle w:val="FootnoteReference"/>
        </w:rPr>
        <w:footnoteReference w:id="97"/>
      </w:r>
      <w:r w:rsidR="00256E27">
        <w:t xml:space="preserve"> </w:t>
      </w:r>
    </w:p>
    <w:p w14:paraId="4DD593CE" w14:textId="77777777" w:rsidR="008E278A" w:rsidRDefault="008E278A" w:rsidP="006F1EE1">
      <w:pPr>
        <w:pStyle w:val="Heading3"/>
      </w:pPr>
      <w:r>
        <w:t>EID testing and public health impact</w:t>
      </w:r>
    </w:p>
    <w:p w14:paraId="12032205" w14:textId="2E5FF9E4" w:rsidR="00491A46" w:rsidRDefault="00A51C5E" w:rsidP="00491A46">
      <w:pPr>
        <w:pStyle w:val="CEPAReportText"/>
      </w:pPr>
      <w:r>
        <w:t xml:space="preserve">As noted previously, the work on EID </w:t>
      </w:r>
      <w:r w:rsidR="007D0D99">
        <w:t xml:space="preserve">POC </w:t>
      </w:r>
      <w:r>
        <w:t xml:space="preserve">testing was much delayed and majority of the testing was for research rather than routine purposes. As such, the project has not had much impact in the area. </w:t>
      </w:r>
      <w:r w:rsidR="00491A46">
        <w:t xml:space="preserve">Notwithstanding this, EID was introduced in DRC, Kenya and South Africa and Table </w:t>
      </w:r>
      <w:r>
        <w:t>4.3</w:t>
      </w:r>
      <w:r w:rsidR="00491A46">
        <w:t xml:space="preserve"> shows the average number of calendar days from EID sample collection to treatment initiation for that year. As early initiation of treatment has significant impacts on morbidity and mortality on infants, the fact that targets were met, or exceeded for Kenya and South Africa is significant. The reasons for delay in DRC are due in part to the fact that the team only operates the Abbott platform twice </w:t>
      </w:r>
      <w:r w:rsidR="00A429F3">
        <w:t>per</w:t>
      </w:r>
      <w:r w:rsidR="00491A46">
        <w:t xml:space="preserve"> month.</w:t>
      </w:r>
      <w:r w:rsidR="00491A46">
        <w:rPr>
          <w:rStyle w:val="FootnoteReference"/>
        </w:rPr>
        <w:footnoteReference w:id="98"/>
      </w:r>
    </w:p>
    <w:p w14:paraId="1D3CE798" w14:textId="5AA3FCE4" w:rsidR="00491A46" w:rsidRPr="0078212C" w:rsidRDefault="00491A46" w:rsidP="00491A46">
      <w:pPr>
        <w:pStyle w:val="CEPADiagramLabel"/>
      </w:pPr>
      <w:r>
        <w:t>Table</w:t>
      </w:r>
      <w:r w:rsidR="00A51C5E">
        <w:t xml:space="preserve"> 4.3</w:t>
      </w:r>
      <w:r>
        <w:t xml:space="preserve">: </w:t>
      </w:r>
      <w:r w:rsidRPr="0078212C">
        <w:t>Average number of calendar days from EID sample collection to treatment initiation</w:t>
      </w:r>
      <w:r>
        <w:rPr>
          <w:rStyle w:val="FootnoteReference"/>
        </w:rPr>
        <w:footnoteReference w:id="99"/>
      </w:r>
      <w:r w:rsidRPr="00ED674E">
        <w:rPr>
          <w:vertAlign w:val="superscript"/>
        </w:rPr>
        <w:t>,</w:t>
      </w:r>
      <w:r>
        <w:t xml:space="preserve"> </w:t>
      </w:r>
      <w:r>
        <w:rPr>
          <w:rStyle w:val="FootnoteReference"/>
        </w:rPr>
        <w:footnoteReference w:id="100"/>
      </w:r>
    </w:p>
    <w:tbl>
      <w:tblPr>
        <w:tblStyle w:val="TableGrid"/>
        <w:tblW w:w="4988"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255"/>
        <w:gridCol w:w="3370"/>
        <w:gridCol w:w="3369"/>
      </w:tblGrid>
      <w:tr w:rsidR="00491A46" w14:paraId="6D98EA99" w14:textId="77777777" w:rsidTr="00930214">
        <w:trPr>
          <w:tblHeader/>
        </w:trPr>
        <w:tc>
          <w:tcPr>
            <w:tcW w:w="1253" w:type="pct"/>
            <w:shd w:val="solid" w:color="4B86CD" w:fill="auto"/>
          </w:tcPr>
          <w:p w14:paraId="448D7A86" w14:textId="77777777" w:rsidR="00491A46" w:rsidRPr="0078212C" w:rsidRDefault="00491A46" w:rsidP="005B13B2">
            <w:pPr>
              <w:pStyle w:val="CEPATabletext"/>
              <w:rPr>
                <w:b/>
                <w:color w:val="FFFFFF"/>
              </w:rPr>
            </w:pPr>
            <w:r>
              <w:rPr>
                <w:b/>
                <w:color w:val="FFFFFF"/>
              </w:rPr>
              <w:t>Country</w:t>
            </w:r>
          </w:p>
        </w:tc>
        <w:tc>
          <w:tcPr>
            <w:tcW w:w="1873" w:type="pct"/>
            <w:shd w:val="solid" w:color="4B86CD" w:fill="auto"/>
          </w:tcPr>
          <w:p w14:paraId="02A24B63" w14:textId="77777777" w:rsidR="00491A46" w:rsidRPr="0078212C" w:rsidRDefault="00491A46" w:rsidP="005B13B2">
            <w:pPr>
              <w:pStyle w:val="CEPATabletext"/>
              <w:rPr>
                <w:b/>
                <w:color w:val="FFFFFF"/>
              </w:rPr>
            </w:pPr>
            <w:r>
              <w:rPr>
                <w:b/>
                <w:color w:val="FFFFFF"/>
              </w:rPr>
              <w:t>Target</w:t>
            </w:r>
          </w:p>
        </w:tc>
        <w:tc>
          <w:tcPr>
            <w:tcW w:w="1873" w:type="pct"/>
            <w:shd w:val="solid" w:color="4B86CD" w:fill="auto"/>
          </w:tcPr>
          <w:p w14:paraId="2732CD3D" w14:textId="77777777" w:rsidR="00491A46" w:rsidRPr="0078212C" w:rsidRDefault="00491A46" w:rsidP="005B13B2">
            <w:pPr>
              <w:pStyle w:val="CEPATabletext"/>
              <w:rPr>
                <w:b/>
                <w:color w:val="FFFFFF"/>
              </w:rPr>
            </w:pPr>
            <w:r>
              <w:rPr>
                <w:b/>
                <w:color w:val="FFFFFF"/>
              </w:rPr>
              <w:t>Result</w:t>
            </w:r>
          </w:p>
        </w:tc>
      </w:tr>
      <w:tr w:rsidR="00491A46" w14:paraId="284F4550" w14:textId="77777777" w:rsidTr="00930214">
        <w:tc>
          <w:tcPr>
            <w:tcW w:w="1253" w:type="pct"/>
          </w:tcPr>
          <w:p w14:paraId="1E6CF315" w14:textId="77777777" w:rsidR="00491A46" w:rsidRDefault="00491A46" w:rsidP="005B13B2">
            <w:pPr>
              <w:pStyle w:val="CEPATabletext"/>
            </w:pPr>
            <w:r>
              <w:t>DRC</w:t>
            </w:r>
          </w:p>
        </w:tc>
        <w:tc>
          <w:tcPr>
            <w:tcW w:w="1873" w:type="pct"/>
          </w:tcPr>
          <w:p w14:paraId="54B63E13" w14:textId="77777777" w:rsidR="00491A46" w:rsidRDefault="00491A46" w:rsidP="005B13B2">
            <w:pPr>
              <w:pStyle w:val="CEPATabletext"/>
            </w:pPr>
            <w:r>
              <w:t>7</w:t>
            </w:r>
          </w:p>
        </w:tc>
        <w:tc>
          <w:tcPr>
            <w:tcW w:w="1873" w:type="pct"/>
          </w:tcPr>
          <w:p w14:paraId="6E7849BF" w14:textId="77777777" w:rsidR="00491A46" w:rsidRDefault="00491A46" w:rsidP="005B13B2">
            <w:pPr>
              <w:pStyle w:val="CEPATabletext"/>
            </w:pPr>
            <w:r>
              <w:t>30</w:t>
            </w:r>
          </w:p>
        </w:tc>
      </w:tr>
      <w:tr w:rsidR="00491A46" w14:paraId="279C0F85" w14:textId="77777777" w:rsidTr="00930214">
        <w:tc>
          <w:tcPr>
            <w:tcW w:w="1253" w:type="pct"/>
          </w:tcPr>
          <w:p w14:paraId="0422C537" w14:textId="77777777" w:rsidR="00491A46" w:rsidRDefault="00491A46" w:rsidP="005B13B2">
            <w:pPr>
              <w:pStyle w:val="CEPATabletext"/>
            </w:pPr>
            <w:r>
              <w:t>Kenya</w:t>
            </w:r>
          </w:p>
        </w:tc>
        <w:tc>
          <w:tcPr>
            <w:tcW w:w="1873" w:type="pct"/>
          </w:tcPr>
          <w:p w14:paraId="44F47678" w14:textId="77777777" w:rsidR="00491A46" w:rsidRDefault="00491A46" w:rsidP="005B13B2">
            <w:pPr>
              <w:pStyle w:val="CEPATabletext"/>
            </w:pPr>
            <w:r>
              <w:t>15</w:t>
            </w:r>
          </w:p>
        </w:tc>
        <w:tc>
          <w:tcPr>
            <w:tcW w:w="1873" w:type="pct"/>
          </w:tcPr>
          <w:p w14:paraId="7171A8DD" w14:textId="77777777" w:rsidR="00491A46" w:rsidRDefault="00491A46" w:rsidP="005B13B2">
            <w:pPr>
              <w:pStyle w:val="CEPATabletext"/>
            </w:pPr>
            <w:r>
              <w:t>10</w:t>
            </w:r>
          </w:p>
        </w:tc>
      </w:tr>
      <w:tr w:rsidR="00491A46" w14:paraId="2DE72B43" w14:textId="77777777" w:rsidTr="00930214">
        <w:tc>
          <w:tcPr>
            <w:tcW w:w="1253" w:type="pct"/>
          </w:tcPr>
          <w:p w14:paraId="290C280D" w14:textId="77777777" w:rsidR="00491A46" w:rsidRDefault="00491A46" w:rsidP="005B13B2">
            <w:pPr>
              <w:pStyle w:val="CEPATabletext"/>
            </w:pPr>
            <w:r>
              <w:t>South Africa</w:t>
            </w:r>
          </w:p>
        </w:tc>
        <w:tc>
          <w:tcPr>
            <w:tcW w:w="1873" w:type="pct"/>
          </w:tcPr>
          <w:p w14:paraId="5269402E" w14:textId="77777777" w:rsidR="00491A46" w:rsidRDefault="00491A46" w:rsidP="005B13B2">
            <w:pPr>
              <w:pStyle w:val="CEPATabletext"/>
            </w:pPr>
            <w:r>
              <w:t>1</w:t>
            </w:r>
          </w:p>
        </w:tc>
        <w:tc>
          <w:tcPr>
            <w:tcW w:w="1873" w:type="pct"/>
          </w:tcPr>
          <w:p w14:paraId="2AD00D2A" w14:textId="77777777" w:rsidR="00491A46" w:rsidRDefault="00491A46" w:rsidP="005B13B2">
            <w:pPr>
              <w:pStyle w:val="CEPATabletext"/>
            </w:pPr>
            <w:r>
              <w:t>1</w:t>
            </w:r>
          </w:p>
        </w:tc>
      </w:tr>
    </w:tbl>
    <w:p w14:paraId="187373E5" w14:textId="77777777" w:rsidR="00491A46" w:rsidRDefault="00491A46" w:rsidP="006F1EE1">
      <w:pPr>
        <w:pStyle w:val="Heading3"/>
      </w:pPr>
      <w:r>
        <w:t>CD4 testing and public health impact</w:t>
      </w:r>
    </w:p>
    <w:p w14:paraId="2031E7C4" w14:textId="77777777" w:rsidR="00491A46" w:rsidRPr="00E44B99" w:rsidRDefault="00491A46" w:rsidP="00491A46">
      <w:pPr>
        <w:pStyle w:val="CEPAReportText"/>
      </w:pPr>
      <w:r>
        <w:t xml:space="preserve">With regards to CD4 testing, we note that this was not a key component after the 2013 guideline changes. However, during the course of the project, as number of CD4 tests were conducted. In addition, MSF has advocated for the ongoing monitoring of CD4 in specific instances. This has ongoing relevance for patients who benefit from these tests. It has been recognised through consultations that the speed with which CD4 testing was dropped has been problematic, particularly for complex HIV cases where CD4 measurement is more relevant. The continued focus by the project was helpful (including in establishing the risks with de-emphasising CD4 measurement). </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808080" w:themeFill="background1" w:themeFillShade="80"/>
        <w:tblLook w:val="04A0" w:firstRow="1" w:lastRow="0" w:firstColumn="1" w:lastColumn="0" w:noHBand="0" w:noVBand="1"/>
      </w:tblPr>
      <w:tblGrid>
        <w:gridCol w:w="9016"/>
      </w:tblGrid>
      <w:tr w:rsidR="00B51C8D" w:rsidRPr="00660E7D" w14:paraId="3E50A7BC" w14:textId="77777777" w:rsidTr="00B51C8D">
        <w:trPr>
          <w:trHeight w:val="400"/>
          <w:tblHeader/>
        </w:trPr>
        <w:tc>
          <w:tcPr>
            <w:tcW w:w="5000" w:type="pct"/>
            <w:shd w:val="clear" w:color="auto" w:fill="7EA8DC" w:themeFill="text1" w:themeFillTint="80"/>
          </w:tcPr>
          <w:p w14:paraId="32D3C0FE" w14:textId="05DC2A1F" w:rsidR="00B51C8D" w:rsidRPr="00660E7D" w:rsidRDefault="00B51C8D" w:rsidP="00B51C8D">
            <w:pPr>
              <w:pStyle w:val="CEPATabletext"/>
              <w:rPr>
                <w:b/>
                <w:color w:val="FFFFFF"/>
                <w:sz w:val="24"/>
              </w:rPr>
            </w:pPr>
            <w:r w:rsidRPr="00660E7D">
              <w:rPr>
                <w:b/>
                <w:color w:val="FFFFFF"/>
                <w:sz w:val="24"/>
              </w:rPr>
              <w:t>Summary findings:</w:t>
            </w:r>
          </w:p>
          <w:p w14:paraId="41AC9207" w14:textId="101774A0" w:rsidR="00B51C8D" w:rsidRPr="00660E7D" w:rsidRDefault="00B51C8D" w:rsidP="0026453B">
            <w:pPr>
              <w:pStyle w:val="CEPATabletext"/>
              <w:rPr>
                <w:color w:val="FFFFFF" w:themeColor="background1"/>
                <w:sz w:val="24"/>
              </w:rPr>
            </w:pPr>
            <w:r w:rsidRPr="00660E7D">
              <w:rPr>
                <w:color w:val="FFFFFF" w:themeColor="background1"/>
                <w:sz w:val="24"/>
              </w:rPr>
              <w:t xml:space="preserve">The project has made an important contribution to increasing VL testing, which has had a number of public health benefits. However, the ultimate impact on switching to </w:t>
            </w:r>
            <w:r w:rsidR="00093AAF">
              <w:rPr>
                <w:color w:val="FFFFFF" w:themeColor="background1"/>
                <w:sz w:val="24"/>
              </w:rPr>
              <w:t>second-line treatment</w:t>
            </w:r>
            <w:r w:rsidRPr="00660E7D">
              <w:rPr>
                <w:color w:val="FFFFFF" w:themeColor="background1"/>
                <w:sz w:val="24"/>
              </w:rPr>
              <w:t xml:space="preserve"> has not been as much as expected.</w:t>
            </w:r>
          </w:p>
          <w:p w14:paraId="147A991D" w14:textId="146AFF12" w:rsidR="00B51C8D" w:rsidRPr="00660E7D" w:rsidRDefault="00B51C8D" w:rsidP="0026453B">
            <w:pPr>
              <w:pStyle w:val="CEPATabletext"/>
              <w:rPr>
                <w:color w:val="FFFFFF"/>
                <w:sz w:val="24"/>
              </w:rPr>
            </w:pPr>
            <w:r w:rsidRPr="00660E7D">
              <w:rPr>
                <w:color w:val="FFFFFF" w:themeColor="background1"/>
                <w:sz w:val="24"/>
              </w:rPr>
              <w:t>In terms of EID TAT, while project monitored targets have mostly been achieved but due to the delays in the devices being available, the public health impact of the project in this area has been limited.</w:t>
            </w:r>
          </w:p>
        </w:tc>
      </w:tr>
    </w:tbl>
    <w:p w14:paraId="73237460" w14:textId="16119A61" w:rsidR="00B62DA0" w:rsidRDefault="00B62DA0" w:rsidP="00B51C8D">
      <w:pPr>
        <w:pStyle w:val="Heading2"/>
      </w:pPr>
      <w:bookmarkStart w:id="419" w:name="_Toc500182467"/>
      <w:bookmarkStart w:id="420" w:name="_Toc500445655"/>
      <w:bookmarkStart w:id="421" w:name="_Toc500503135"/>
      <w:bookmarkStart w:id="422" w:name="_Toc500512844"/>
      <w:bookmarkStart w:id="423" w:name="_Toc500517770"/>
      <w:bookmarkStart w:id="424" w:name="_Toc500519585"/>
      <w:bookmarkStart w:id="425" w:name="_Toc500524432"/>
      <w:bookmarkStart w:id="426" w:name="_Toc506417404"/>
      <w:bookmarkStart w:id="427" w:name="_Toc515359228"/>
      <w:bookmarkStart w:id="428" w:name="_Toc500508116"/>
      <w:r>
        <w:t>Extent of sustainability and potential for scalability</w:t>
      </w:r>
      <w:bookmarkEnd w:id="419"/>
      <w:bookmarkEnd w:id="420"/>
      <w:bookmarkEnd w:id="421"/>
      <w:bookmarkEnd w:id="422"/>
      <w:bookmarkEnd w:id="423"/>
      <w:bookmarkEnd w:id="424"/>
      <w:bookmarkEnd w:id="425"/>
      <w:bookmarkEnd w:id="426"/>
      <w:bookmarkEnd w:id="427"/>
    </w:p>
    <w:bookmarkEnd w:id="428"/>
    <w:p w14:paraId="65912EF8" w14:textId="34862E1E" w:rsidR="00B62DA0" w:rsidRDefault="0028084D" w:rsidP="00B62DA0">
      <w:pPr>
        <w:pStyle w:val="CEPAReportText"/>
      </w:pPr>
      <w:r>
        <w:t xml:space="preserve">The final evaluation question </w:t>
      </w:r>
      <w:r w:rsidR="009B7BEB">
        <w:t xml:space="preserve">considers </w:t>
      </w:r>
      <w:r>
        <w:t xml:space="preserve">the extent </w:t>
      </w:r>
      <w:r w:rsidR="009B7BEB">
        <w:t xml:space="preserve">of sustainability of the </w:t>
      </w:r>
      <w:r>
        <w:t>MSF programmes and potential for scalability</w:t>
      </w:r>
      <w:r w:rsidR="009B7BEB">
        <w:t xml:space="preserve">. </w:t>
      </w:r>
      <w:r>
        <w:t>The specific</w:t>
      </w:r>
      <w:r w:rsidR="00B62DA0">
        <w:t xml:space="preserve"> evaluation question is as follows: </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8E278A" w:rsidRPr="00B943ED" w14:paraId="5DF7911D" w14:textId="77777777" w:rsidTr="008E278A">
        <w:trPr>
          <w:trHeight w:val="503"/>
          <w:tblHeader/>
        </w:trPr>
        <w:tc>
          <w:tcPr>
            <w:tcW w:w="5000" w:type="pct"/>
            <w:shd w:val="solid" w:color="4B86CD" w:fill="auto"/>
          </w:tcPr>
          <w:p w14:paraId="442BC37E" w14:textId="77777777" w:rsidR="008E278A" w:rsidRPr="00B62DA0" w:rsidRDefault="008E278A" w:rsidP="00846486">
            <w:pPr>
              <w:pStyle w:val="CEPATabletext"/>
              <w:numPr>
                <w:ilvl w:val="0"/>
                <w:numId w:val="9"/>
              </w:numPr>
              <w:rPr>
                <w:b/>
                <w:color w:val="FFFFFF"/>
                <w:sz w:val="24"/>
              </w:rPr>
            </w:pPr>
            <w:r w:rsidRPr="00B62DA0">
              <w:rPr>
                <w:b/>
                <w:color w:val="FFFFFF"/>
                <w:sz w:val="24"/>
              </w:rPr>
              <w:t xml:space="preserve">Have the project activities been sustained and has the project laid the foundation for scale-up? </w:t>
            </w:r>
          </w:p>
        </w:tc>
      </w:tr>
    </w:tbl>
    <w:p w14:paraId="5C60722D" w14:textId="59AE1AC4" w:rsidR="009B7BEB" w:rsidRDefault="009B7BEB" w:rsidP="002A0CE4">
      <w:pPr>
        <w:pStyle w:val="CEPAReportText"/>
      </w:pPr>
      <w:bookmarkStart w:id="429" w:name="_Hlk506470085"/>
      <w:r>
        <w:t xml:space="preserve">The MSF project was a demonstration and feasibility assessment project, </w:t>
      </w:r>
      <w:r w:rsidR="006D1C91">
        <w:t xml:space="preserve">and hence the expectation is that not all approaches will be taken forward by the government and other partners. </w:t>
      </w:r>
      <w:bookmarkEnd w:id="429"/>
      <w:r w:rsidR="006D1C91">
        <w:t xml:space="preserve">Further, there may be varying experiences ranging from full </w:t>
      </w:r>
      <w:r w:rsidR="003C6684">
        <w:t>hand-over</w:t>
      </w:r>
      <w:r w:rsidR="006D1C91">
        <w:t xml:space="preserve"> of the diagnostic platform and ART cohort to the government with or without supporting donor funding, to </w:t>
      </w:r>
      <w:r w:rsidR="00696890">
        <w:t xml:space="preserve">take over of a specific service or </w:t>
      </w:r>
      <w:r w:rsidR="006D1C91">
        <w:t xml:space="preserve">adoption of a particular approach that may have been piloted by MSF, to a continuation of diagnostics and monitoring by MSF themselves. This last aspect does not necessarily suggest a poor outcome given MSF’s role in several countries of managing ART cohorts. </w:t>
      </w:r>
      <w:bookmarkStart w:id="430" w:name="_Hlk506470985"/>
      <w:r w:rsidR="006D1C91">
        <w:t xml:space="preserve">However, ultimately for longer term sustainability one would expect </w:t>
      </w:r>
      <w:r w:rsidR="003C6684">
        <w:t>hand-over</w:t>
      </w:r>
      <w:r w:rsidR="006D1C91">
        <w:t xml:space="preserve"> to the government</w:t>
      </w:r>
      <w:r w:rsidR="00670FEC">
        <w:t xml:space="preserve">, </w:t>
      </w:r>
      <w:r w:rsidR="009B481D">
        <w:t>which might be particularly risky for project sites where MSF activities have not been well-integrated with the government</w:t>
      </w:r>
      <w:r w:rsidR="006D1C91">
        <w:t>.</w:t>
      </w:r>
      <w:bookmarkEnd w:id="430"/>
    </w:p>
    <w:p w14:paraId="2F2E5748" w14:textId="362A2171" w:rsidR="00175856" w:rsidRDefault="006D1C91" w:rsidP="002A0CE4">
      <w:pPr>
        <w:pStyle w:val="CEPAReportText"/>
      </w:pPr>
      <w:r>
        <w:t xml:space="preserve">A review of the total of ten programmes supported by MSF under the project </w:t>
      </w:r>
      <w:r w:rsidR="0028084D">
        <w:t>(considering two separate programmes in Malawi and a total of nine countries covered)</w:t>
      </w:r>
      <w:r w:rsidR="00175856">
        <w:t>, indicates this varying experience.</w:t>
      </w:r>
      <w:r w:rsidR="00175856">
        <w:rPr>
          <w:rStyle w:val="FootnoteReference"/>
        </w:rPr>
        <w:footnoteReference w:id="101"/>
      </w:r>
      <w:r w:rsidR="00175856">
        <w:t xml:space="preserve"> In particular: </w:t>
      </w:r>
    </w:p>
    <w:p w14:paraId="2CF85680" w14:textId="6AE4B394" w:rsidR="00175856" w:rsidRDefault="00175856" w:rsidP="00175856">
      <w:pPr>
        <w:pStyle w:val="CEPABullets"/>
      </w:pPr>
      <w:bookmarkStart w:id="431" w:name="_Hlk506470128"/>
      <w:r w:rsidRPr="00895384">
        <w:rPr>
          <w:b/>
        </w:rPr>
        <w:t xml:space="preserve">Three programmes have seen good </w:t>
      </w:r>
      <w:r w:rsidR="003C6684">
        <w:rPr>
          <w:b/>
        </w:rPr>
        <w:t>hand-over</w:t>
      </w:r>
      <w:r w:rsidRPr="00895384">
        <w:rPr>
          <w:b/>
        </w:rPr>
        <w:t xml:space="preserve"> to the government and follow-up funding by donors</w:t>
      </w:r>
      <w:bookmarkEnd w:id="431"/>
      <w:r w:rsidRPr="00895384">
        <w:rPr>
          <w:b/>
        </w:rPr>
        <w:t xml:space="preserve">. </w:t>
      </w:r>
      <w:r>
        <w:t xml:space="preserve">These include: (i) Zimbabwe, where the MSF work has been particularly successful, with strong </w:t>
      </w:r>
      <w:r w:rsidR="00B61C4F">
        <w:t>MOH</w:t>
      </w:r>
      <w:r>
        <w:t xml:space="preserve"> interest in scale-up and crowding-in by other donors (PEPFAR, Global Fund, UNDP); (ii) Mozambique, where there has been a </w:t>
      </w:r>
      <w:r w:rsidR="003C6684">
        <w:t>hand-over</w:t>
      </w:r>
      <w:r>
        <w:t xml:space="preserve"> to the government in early 2017, including take-over of both the </w:t>
      </w:r>
      <w:r w:rsidR="007B10C8">
        <w:t>BM</w:t>
      </w:r>
      <w:r>
        <w:t xml:space="preserve"> and Abbott platforms and support for reagents from PEPFAR; and (iii) Malawi Thyolo, where MSF has proactively revised its programme to ensure government take-over. </w:t>
      </w:r>
    </w:p>
    <w:p w14:paraId="40B30052" w14:textId="62D73D68" w:rsidR="00175856" w:rsidRDefault="00175856" w:rsidP="00175856">
      <w:pPr>
        <w:pStyle w:val="CEPABullets"/>
      </w:pPr>
      <w:bookmarkStart w:id="432" w:name="_Hlk506470155"/>
      <w:r>
        <w:rPr>
          <w:b/>
        </w:rPr>
        <w:t>Four programmes are being largely continued by MSF</w:t>
      </w:r>
      <w:r w:rsidR="00AE6546">
        <w:rPr>
          <w:b/>
        </w:rPr>
        <w:t>,</w:t>
      </w:r>
      <w:r w:rsidR="00696890">
        <w:rPr>
          <w:b/>
        </w:rPr>
        <w:t xml:space="preserve"> with some services and/ or approaches being taken forward by the government</w:t>
      </w:r>
      <w:bookmarkEnd w:id="432"/>
      <w:r>
        <w:rPr>
          <w:b/>
        </w:rPr>
        <w:t>.</w:t>
      </w:r>
      <w:r>
        <w:t xml:space="preserve"> This includes DRC, where the government has taken over certain services such as sample transport and donors are funding reagent costs, however VL testing continues to be provided by MSF. There are some indications of the government funding certain aspects in Swaziland, but MSF continues operations for now. In Uganda as well, MSF notes that the government sees the value of POC testing but is unable to cover the costs. Finally, as noted in Section 3.3, MSF’s programme in Malawi Chiradzulu on </w:t>
      </w:r>
      <w:r w:rsidR="00AE6546">
        <w:t xml:space="preserve">routine </w:t>
      </w:r>
      <w:r>
        <w:t>POC VL testing</w:t>
      </w:r>
      <w:r w:rsidR="00AE6546">
        <w:t xml:space="preserve"> includ</w:t>
      </w:r>
      <w:r w:rsidR="00696890">
        <w:t>ing</w:t>
      </w:r>
      <w:r w:rsidR="00AE6546">
        <w:t xml:space="preserve"> the SAMBA platform</w:t>
      </w:r>
      <w:r>
        <w:t xml:space="preserve"> </w:t>
      </w:r>
      <w:r w:rsidR="00696890">
        <w:t xml:space="preserve">has not been </w:t>
      </w:r>
      <w:r>
        <w:t xml:space="preserve">taken up by the government, although </w:t>
      </w:r>
      <w:r w:rsidR="00AE6546">
        <w:t>the government is taking forward targeted POC VL testing through other platforms</w:t>
      </w:r>
      <w:r>
        <w:t xml:space="preserve">. </w:t>
      </w:r>
    </w:p>
    <w:p w14:paraId="7C9EDECC" w14:textId="4E678853" w:rsidR="00895384" w:rsidRDefault="00AE6546" w:rsidP="008E278A">
      <w:pPr>
        <w:pStyle w:val="CEPABullets"/>
      </w:pPr>
      <w:r w:rsidRPr="00AE6546">
        <w:rPr>
          <w:b/>
        </w:rPr>
        <w:t>The remaining three pro</w:t>
      </w:r>
      <w:r w:rsidR="00B1027B">
        <w:rPr>
          <w:b/>
        </w:rPr>
        <w:t xml:space="preserve">grammes had somewhat of a mixed/ limited hand-over </w:t>
      </w:r>
      <w:r w:rsidRPr="00AE6546">
        <w:rPr>
          <w:b/>
        </w:rPr>
        <w:t>experience.</w:t>
      </w:r>
      <w:r>
        <w:t xml:space="preserve"> In Lesotho, there was </w:t>
      </w:r>
      <w:r w:rsidR="003C6684">
        <w:t>hand-over</w:t>
      </w:r>
      <w:r>
        <w:t xml:space="preserve"> to EGPAF, however there were challenges with MSF closing its operations in the country. </w:t>
      </w:r>
      <w:r w:rsidR="00895384">
        <w:t xml:space="preserve">In  Kenya, </w:t>
      </w:r>
      <w:r w:rsidR="006037CB">
        <w:t>although the GeneXpert platform was validated, the government is not planning to roll out GeneXpert EID as part of its national strategy</w:t>
      </w:r>
      <w:r w:rsidR="00C52E02">
        <w:t>.</w:t>
      </w:r>
      <w:r w:rsidR="00895384">
        <w:t xml:space="preserve"> </w:t>
      </w:r>
      <w:r w:rsidR="00C52E02">
        <w:t>I</w:t>
      </w:r>
      <w:r w:rsidR="00895384">
        <w:t xml:space="preserve">n South Africa, the Alere Q platform supported by MSF has been discontinued as there is a good central laboratory system with good </w:t>
      </w:r>
      <w:r w:rsidR="004D0E48">
        <w:t>TAT</w:t>
      </w:r>
      <w:r w:rsidR="00895384">
        <w:t>s.</w:t>
      </w:r>
      <w:r w:rsidR="007C50E8">
        <w:t xml:space="preserve"> Whilst we note that this may be appropriate from the country’s perspective, the </w:t>
      </w:r>
      <w:r w:rsidR="00C52E02">
        <w:t>platforms uti</w:t>
      </w:r>
      <w:r w:rsidR="003D0F6A">
        <w:t xml:space="preserve">lised under the </w:t>
      </w:r>
      <w:r>
        <w:t>operational research</w:t>
      </w:r>
      <w:r w:rsidR="007C50E8">
        <w:t xml:space="preserve"> have not been </w:t>
      </w:r>
      <w:r w:rsidR="003D0F6A">
        <w:t xml:space="preserve">taken forward. </w:t>
      </w:r>
      <w:r w:rsidR="007C50E8">
        <w:t xml:space="preserve">  </w:t>
      </w:r>
    </w:p>
    <w:p w14:paraId="020D29C5" w14:textId="60FF8ED8" w:rsidR="00696890" w:rsidRDefault="00696890" w:rsidP="00696890">
      <w:pPr>
        <w:pStyle w:val="CEPAReportText"/>
      </w:pPr>
      <w:bookmarkStart w:id="433" w:name="_Hlk506470678"/>
      <w:r>
        <w:t>As such, there have been highly successful country programmes that have seen full take-over by the government and other donors</w:t>
      </w:r>
      <w:r w:rsidR="00BE4CF4">
        <w:t xml:space="preserve"> (being driven by MSF’s close alignment and working with government)</w:t>
      </w:r>
      <w:r>
        <w:t xml:space="preserve">, alongside others where selected services have been handed over or particular approaches adopted. </w:t>
      </w:r>
      <w:bookmarkEnd w:id="433"/>
      <w:r>
        <w:t xml:space="preserve">This has been on account of limited government funding and capacity as well as preference for alternate technologies other than that piloted by MSF, reflecting the complex context for MSF operations where the work of multiple players and funders also influences </w:t>
      </w:r>
      <w:r w:rsidR="00B61C4F">
        <w:t>MOH</w:t>
      </w:r>
      <w:r>
        <w:t xml:space="preserve"> decision making.</w:t>
      </w:r>
      <w:r w:rsidR="00BE4CF4">
        <w:t xml:space="preserve"> Finally, some programmes such as in Kenya and South Africa </w:t>
      </w:r>
      <w:bookmarkStart w:id="434" w:name="_Hlk506470718"/>
      <w:r w:rsidR="00BE4CF4">
        <w:t xml:space="preserve">have not been taken up by the government, </w:t>
      </w:r>
      <w:r w:rsidR="00B1027B">
        <w:t xml:space="preserve">which reflects the feasibility of alternative approaches, </w:t>
      </w:r>
      <w:r w:rsidR="00BE4CF4">
        <w:t xml:space="preserve">although with their operational research focus, </w:t>
      </w:r>
      <w:r w:rsidR="00B1027B">
        <w:t xml:space="preserve">hand-over was also </w:t>
      </w:r>
      <w:r w:rsidR="00BE4CF4">
        <w:t xml:space="preserve">not the core objective of the </w:t>
      </w:r>
      <w:r w:rsidR="00B1027B">
        <w:t>project</w:t>
      </w:r>
      <w:r w:rsidR="00BE4CF4">
        <w:t xml:space="preserve">. </w:t>
      </w:r>
      <w:bookmarkEnd w:id="434"/>
    </w:p>
    <w:p w14:paraId="6C1D2040" w14:textId="76061637" w:rsidR="00AE6546" w:rsidRDefault="00AE6546" w:rsidP="00AE6546">
      <w:pPr>
        <w:pStyle w:val="CEPAReportText"/>
      </w:pPr>
      <w:bookmarkStart w:id="435" w:name="_Hlk506470807"/>
      <w:r>
        <w:t xml:space="preserve">Generally it is recognised that ensuring the sustainability of the MSF programmes is challenging given the resource-limited settings that they are operating in. </w:t>
      </w:r>
      <w:bookmarkEnd w:id="435"/>
      <w:r>
        <w:t xml:space="preserve">Even for the more positive experiences of </w:t>
      </w:r>
      <w:r w:rsidR="003C6684">
        <w:t>hand-over</w:t>
      </w:r>
      <w:r>
        <w:t>, there have been ongoing challenges with a decline in certain services post-</w:t>
      </w:r>
      <w:r w:rsidR="003C6684">
        <w:t>hand-over</w:t>
      </w:r>
      <w:r>
        <w:t xml:space="preserve"> (e.g. in Zimbabwe and Malawi Thyolo), including longer TAT and lower switch rates (e.g. in Mozambique and Zimbabwe). Further, some have also commented that the project has been very ambitious with too short a timeframe (even with extensions) and that integration with governments and others</w:t>
      </w:r>
      <w:r w:rsidRPr="009C311C">
        <w:t xml:space="preserve"> </w:t>
      </w:r>
      <w:r>
        <w:t xml:space="preserve">takes more time, especially given the nature of the intervention which requires not only financial commitment but also revisions to the approach to HIV diagnosis and monitoring. </w:t>
      </w:r>
    </w:p>
    <w:p w14:paraId="172C4D62" w14:textId="304E2A79" w:rsidR="00A4531D" w:rsidRDefault="00AE6546" w:rsidP="00A4531D">
      <w:pPr>
        <w:pStyle w:val="CEPAReportText"/>
      </w:pPr>
      <w:bookmarkStart w:id="436" w:name="_Hlk506470893"/>
      <w:r>
        <w:t xml:space="preserve">The main contribution of the MSF programme however has been its clear demonstration of the feasibility of routine VL testing and presentation of “proof of concept” that this can work and is much needed. </w:t>
      </w:r>
      <w:bookmarkEnd w:id="436"/>
      <w:r>
        <w:t>As such</w:t>
      </w:r>
      <w:r w:rsidRPr="00AF7BF1">
        <w:t xml:space="preserve">, the policy-making </w:t>
      </w:r>
      <w:r>
        <w:t>and demand creation “</w:t>
      </w:r>
      <w:r w:rsidRPr="00AF7BF1">
        <w:t>leverage</w:t>
      </w:r>
      <w:r>
        <w:t>”</w:t>
      </w:r>
      <w:r w:rsidRPr="00AF7BF1">
        <w:t xml:space="preserve"> </w:t>
      </w:r>
      <w:r>
        <w:t>facilitated</w:t>
      </w:r>
      <w:r w:rsidRPr="00AF7BF1">
        <w:t xml:space="preserve"> by the project is considerable and should not be under-estimated. </w:t>
      </w:r>
      <w:r>
        <w:t>As such, this baseline of MSF contributions will go a long way in ensuring future scalability of VL monitoring, which is of increasing importance to country governments and large donors such as PEPFAR and the Global Fund. We also note that donors are already supporting country governments with regards to testing platforms, as well as reagents, consumables, transport etc., both for the new platforms and Unitaid-procured platforms that have been handed over (for example in Malawi and Zimbabwe), thus emphasising the positive groundwork laid by this project towards scalability.</w:t>
      </w:r>
    </w:p>
    <w:p w14:paraId="300E995C" w14:textId="656C5425" w:rsidR="00B1027B" w:rsidRDefault="00B1027B" w:rsidP="00A4531D">
      <w:pPr>
        <w:pStyle w:val="CEPAReportText"/>
      </w:pPr>
      <w:r>
        <w:t xml:space="preserve">While scalability was not a direct objective of the project, we have examined current VL testing coverage rates and policy implementation in project and </w:t>
      </w:r>
      <w:r w:rsidR="00FD723A">
        <w:t xml:space="preserve">non-project countries to analyse if there has been any further impact (Table 4.4). Not unexpectedly, there isn’t a direct correlation between project countries and progress, with varied and slow experience across both project and non-project countries – primarily reflecting the complexity of scaling of VL monitoring in these resource-limited settings. This does not undermine the significance of the MSF project work, rather emphasising the challenging nature of the intended ultimate outcome. A first step to the pathway is however noted in the increased implementation of national policy on VL testing across a number of countries. </w:t>
      </w:r>
    </w:p>
    <w:p w14:paraId="1B600A9D" w14:textId="77777777" w:rsidR="00FD723A" w:rsidRDefault="00FD723A" w:rsidP="00A4531D">
      <w:pPr>
        <w:pStyle w:val="CEPAReportText"/>
      </w:pPr>
    </w:p>
    <w:p w14:paraId="711F0450" w14:textId="77777777" w:rsidR="00B1027B" w:rsidRDefault="00B1027B" w:rsidP="00A4531D">
      <w:pPr>
        <w:pStyle w:val="CEPAReportText"/>
      </w:pPr>
    </w:p>
    <w:p w14:paraId="5455CF00" w14:textId="73E19499" w:rsidR="00C70C3B" w:rsidRPr="00AC0AE1" w:rsidRDefault="00C70C3B" w:rsidP="00C70C3B">
      <w:pPr>
        <w:pStyle w:val="CEPADiagramLabel"/>
        <w:rPr>
          <w:lang w:val="en-US"/>
        </w:rPr>
      </w:pPr>
      <w:r>
        <w:t>Table 4.4: Viral load testing coverage</w:t>
      </w:r>
      <w:r w:rsidR="00B1027B">
        <w:t xml:space="preserve"> and policy implementation</w:t>
      </w:r>
      <w:r>
        <w:rPr>
          <w:rStyle w:val="FootnoteReference"/>
        </w:rPr>
        <w:footnoteReference w:id="102"/>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35"/>
        <w:gridCol w:w="3008"/>
        <w:gridCol w:w="4373"/>
      </w:tblGrid>
      <w:tr w:rsidR="00C70C3B" w14:paraId="27A630E4" w14:textId="77777777" w:rsidTr="007361DE">
        <w:trPr>
          <w:tblHeader/>
        </w:trPr>
        <w:tc>
          <w:tcPr>
            <w:tcW w:w="907" w:type="pct"/>
            <w:shd w:val="solid" w:color="4B86CD" w:fill="auto"/>
          </w:tcPr>
          <w:p w14:paraId="7AF31D8B" w14:textId="77777777" w:rsidR="00C70C3B" w:rsidRPr="00AC0AE1" w:rsidRDefault="00C70C3B" w:rsidP="007361DE">
            <w:pPr>
              <w:pStyle w:val="CEPATabletext"/>
              <w:rPr>
                <w:b/>
                <w:color w:val="FFFFFF"/>
                <w:lang w:val="en-US"/>
              </w:rPr>
            </w:pPr>
            <w:r>
              <w:rPr>
                <w:b/>
                <w:color w:val="FFFFFF"/>
                <w:lang w:val="en-US"/>
              </w:rPr>
              <w:t>Country</w:t>
            </w:r>
          </w:p>
        </w:tc>
        <w:tc>
          <w:tcPr>
            <w:tcW w:w="1668" w:type="pct"/>
            <w:shd w:val="solid" w:color="4B86CD" w:fill="auto"/>
          </w:tcPr>
          <w:p w14:paraId="5BC168F0" w14:textId="6EF71B05" w:rsidR="00C70C3B" w:rsidRPr="00AC0AE1" w:rsidRDefault="00C70C3B" w:rsidP="007361DE">
            <w:pPr>
              <w:pStyle w:val="CEPATabletext"/>
              <w:rPr>
                <w:b/>
                <w:color w:val="FFFFFF"/>
                <w:lang w:val="en-US"/>
              </w:rPr>
            </w:pPr>
            <w:r>
              <w:rPr>
                <w:b/>
                <w:color w:val="FFFFFF"/>
                <w:lang w:val="en-US"/>
              </w:rPr>
              <w:t>Viral load testing coverage (201</w:t>
            </w:r>
            <w:r w:rsidR="00044B97">
              <w:rPr>
                <w:b/>
                <w:color w:val="FFFFFF"/>
                <w:lang w:val="en-US"/>
              </w:rPr>
              <w:t>6</w:t>
            </w:r>
            <w:r>
              <w:rPr>
                <w:b/>
                <w:color w:val="FFFFFF"/>
                <w:lang w:val="en-US"/>
              </w:rPr>
              <w:t>)</w:t>
            </w:r>
            <w:r>
              <w:rPr>
                <w:rStyle w:val="FootnoteReference"/>
                <w:b/>
                <w:color w:val="FFFFFF"/>
                <w:lang w:val="en-US"/>
              </w:rPr>
              <w:footnoteReference w:id="103"/>
            </w:r>
          </w:p>
        </w:tc>
        <w:tc>
          <w:tcPr>
            <w:tcW w:w="2425" w:type="pct"/>
            <w:shd w:val="solid" w:color="4B86CD" w:fill="auto"/>
          </w:tcPr>
          <w:p w14:paraId="25E39A61" w14:textId="77777777" w:rsidR="00C70C3B" w:rsidRDefault="00C70C3B" w:rsidP="007361DE">
            <w:pPr>
              <w:pStyle w:val="CEPATabletext"/>
              <w:rPr>
                <w:b/>
                <w:color w:val="FFFFFF"/>
                <w:lang w:val="en-US"/>
              </w:rPr>
            </w:pPr>
            <w:r>
              <w:rPr>
                <w:b/>
                <w:color w:val="FFFFFF"/>
                <w:lang w:val="en-US"/>
              </w:rPr>
              <w:t>Implementation of national policy on routine viral load testing for adults and adolescents</w:t>
            </w:r>
          </w:p>
        </w:tc>
      </w:tr>
      <w:tr w:rsidR="00C70C3B" w14:paraId="766478CC" w14:textId="77777777" w:rsidTr="007361DE">
        <w:tc>
          <w:tcPr>
            <w:tcW w:w="907" w:type="pct"/>
          </w:tcPr>
          <w:p w14:paraId="2DAE5067" w14:textId="77777777" w:rsidR="00C70C3B" w:rsidRPr="00AC0AE1" w:rsidRDefault="00C70C3B" w:rsidP="007361DE">
            <w:pPr>
              <w:pStyle w:val="CEPATabletext"/>
              <w:rPr>
                <w:lang w:val="en-US"/>
              </w:rPr>
            </w:pPr>
            <w:r>
              <w:rPr>
                <w:lang w:val="en-US"/>
              </w:rPr>
              <w:t>DRC</w:t>
            </w:r>
            <w:r>
              <w:rPr>
                <w:rStyle w:val="FootnoteReference"/>
                <w:lang w:val="en-US"/>
              </w:rPr>
              <w:footnoteReference w:id="104"/>
            </w:r>
          </w:p>
        </w:tc>
        <w:tc>
          <w:tcPr>
            <w:tcW w:w="1668" w:type="pct"/>
          </w:tcPr>
          <w:p w14:paraId="134F5464" w14:textId="77777777" w:rsidR="00C70C3B" w:rsidRDefault="00C70C3B" w:rsidP="007361DE">
            <w:pPr>
              <w:pStyle w:val="CEPATabletext"/>
              <w:rPr>
                <w:lang w:val="en-US"/>
              </w:rPr>
            </w:pPr>
            <w:r>
              <w:rPr>
                <w:lang w:val="en-US"/>
              </w:rPr>
              <w:t>&lt;50%</w:t>
            </w:r>
          </w:p>
        </w:tc>
        <w:tc>
          <w:tcPr>
            <w:tcW w:w="2425" w:type="pct"/>
          </w:tcPr>
          <w:p w14:paraId="6565330D" w14:textId="77777777" w:rsidR="00C70C3B" w:rsidRDefault="00C70C3B" w:rsidP="007361DE">
            <w:pPr>
              <w:pStyle w:val="CEPATabletext"/>
              <w:rPr>
                <w:lang w:val="en-US"/>
              </w:rPr>
            </w:pPr>
            <w:r>
              <w:rPr>
                <w:lang w:val="en-US"/>
              </w:rPr>
              <w:t>Partially implemented</w:t>
            </w:r>
          </w:p>
        </w:tc>
      </w:tr>
      <w:tr w:rsidR="00C70C3B" w14:paraId="2C63FF8B" w14:textId="77777777" w:rsidTr="007361DE">
        <w:tc>
          <w:tcPr>
            <w:tcW w:w="907" w:type="pct"/>
          </w:tcPr>
          <w:p w14:paraId="077B2CB7" w14:textId="77777777" w:rsidR="00C70C3B" w:rsidRDefault="00C70C3B" w:rsidP="007361DE">
            <w:pPr>
              <w:pStyle w:val="CEPATabletext"/>
              <w:rPr>
                <w:lang w:val="en-US"/>
              </w:rPr>
            </w:pPr>
            <w:r>
              <w:rPr>
                <w:lang w:val="en-US"/>
              </w:rPr>
              <w:t>Kenya</w:t>
            </w:r>
          </w:p>
        </w:tc>
        <w:tc>
          <w:tcPr>
            <w:tcW w:w="1668" w:type="pct"/>
          </w:tcPr>
          <w:p w14:paraId="1B6F0CAC" w14:textId="77777777" w:rsidR="00C70C3B" w:rsidRDefault="00C70C3B" w:rsidP="007361DE">
            <w:pPr>
              <w:pStyle w:val="CEPATabletext"/>
              <w:rPr>
                <w:lang w:val="en-US"/>
              </w:rPr>
            </w:pPr>
            <w:r>
              <w:rPr>
                <w:lang w:val="en-US"/>
              </w:rPr>
              <w:t>&lt;50%</w:t>
            </w:r>
          </w:p>
        </w:tc>
        <w:tc>
          <w:tcPr>
            <w:tcW w:w="2425" w:type="pct"/>
          </w:tcPr>
          <w:p w14:paraId="0E45F210" w14:textId="77777777" w:rsidR="00C70C3B" w:rsidRDefault="00C70C3B" w:rsidP="007361DE">
            <w:pPr>
              <w:pStyle w:val="CEPATabletext"/>
              <w:rPr>
                <w:lang w:val="en-US"/>
              </w:rPr>
            </w:pPr>
            <w:r>
              <w:rPr>
                <w:lang w:val="en-US"/>
              </w:rPr>
              <w:t>Fully implemented</w:t>
            </w:r>
          </w:p>
        </w:tc>
      </w:tr>
      <w:tr w:rsidR="00C70C3B" w14:paraId="4E23B3A9" w14:textId="77777777" w:rsidTr="007361DE">
        <w:tc>
          <w:tcPr>
            <w:tcW w:w="907" w:type="pct"/>
          </w:tcPr>
          <w:p w14:paraId="134F4606" w14:textId="77777777" w:rsidR="00C70C3B" w:rsidRDefault="00C70C3B" w:rsidP="007361DE">
            <w:pPr>
              <w:pStyle w:val="CEPATabletext"/>
              <w:rPr>
                <w:lang w:val="en-US"/>
              </w:rPr>
            </w:pPr>
            <w:r w:rsidRPr="00AC0AE1">
              <w:rPr>
                <w:lang w:val="en-US"/>
              </w:rPr>
              <w:t>Lesotho</w:t>
            </w:r>
          </w:p>
        </w:tc>
        <w:tc>
          <w:tcPr>
            <w:tcW w:w="1668" w:type="pct"/>
          </w:tcPr>
          <w:p w14:paraId="633E1571" w14:textId="77777777" w:rsidR="00C70C3B" w:rsidRDefault="00C70C3B" w:rsidP="007361DE">
            <w:pPr>
              <w:pStyle w:val="CEPATabletext"/>
              <w:rPr>
                <w:lang w:val="en-US"/>
              </w:rPr>
            </w:pPr>
            <w:r>
              <w:rPr>
                <w:lang w:val="en-US"/>
              </w:rPr>
              <w:t>No data</w:t>
            </w:r>
          </w:p>
        </w:tc>
        <w:tc>
          <w:tcPr>
            <w:tcW w:w="2425" w:type="pct"/>
          </w:tcPr>
          <w:p w14:paraId="5FC971E8" w14:textId="77777777" w:rsidR="00C70C3B" w:rsidRDefault="00C70C3B" w:rsidP="007361DE">
            <w:pPr>
              <w:pStyle w:val="CEPATabletext"/>
              <w:rPr>
                <w:lang w:val="en-US"/>
              </w:rPr>
            </w:pPr>
            <w:r>
              <w:rPr>
                <w:lang w:val="en-US"/>
              </w:rPr>
              <w:t>Fully implemented</w:t>
            </w:r>
          </w:p>
        </w:tc>
      </w:tr>
      <w:tr w:rsidR="00C70C3B" w14:paraId="144C6413" w14:textId="77777777" w:rsidTr="007361DE">
        <w:tc>
          <w:tcPr>
            <w:tcW w:w="907" w:type="pct"/>
          </w:tcPr>
          <w:p w14:paraId="4AB04731" w14:textId="77777777" w:rsidR="00C70C3B" w:rsidRDefault="00C70C3B" w:rsidP="007361DE">
            <w:pPr>
              <w:pStyle w:val="CEPATabletext"/>
              <w:rPr>
                <w:lang w:val="en-US"/>
              </w:rPr>
            </w:pPr>
            <w:r w:rsidRPr="00AC0AE1">
              <w:rPr>
                <w:lang w:val="en-US"/>
              </w:rPr>
              <w:t>Malawi</w:t>
            </w:r>
          </w:p>
        </w:tc>
        <w:tc>
          <w:tcPr>
            <w:tcW w:w="1668" w:type="pct"/>
          </w:tcPr>
          <w:p w14:paraId="67A7F2BF" w14:textId="77777777" w:rsidR="00C70C3B" w:rsidRDefault="00C70C3B" w:rsidP="007361DE">
            <w:pPr>
              <w:pStyle w:val="CEPATabletext"/>
              <w:rPr>
                <w:lang w:val="en-US"/>
              </w:rPr>
            </w:pPr>
            <w:r>
              <w:rPr>
                <w:lang w:val="en-US"/>
              </w:rPr>
              <w:t>50-74%</w:t>
            </w:r>
          </w:p>
        </w:tc>
        <w:tc>
          <w:tcPr>
            <w:tcW w:w="2425" w:type="pct"/>
          </w:tcPr>
          <w:p w14:paraId="31188252" w14:textId="77777777" w:rsidR="00C70C3B" w:rsidRDefault="00C70C3B" w:rsidP="007361DE">
            <w:pPr>
              <w:pStyle w:val="CEPATabletext"/>
              <w:rPr>
                <w:lang w:val="en-US"/>
              </w:rPr>
            </w:pPr>
            <w:r>
              <w:rPr>
                <w:lang w:val="en-US"/>
              </w:rPr>
              <w:t>Fully implemented</w:t>
            </w:r>
          </w:p>
        </w:tc>
      </w:tr>
      <w:tr w:rsidR="00C70C3B" w14:paraId="4300DFDF" w14:textId="77777777" w:rsidTr="007361DE">
        <w:tc>
          <w:tcPr>
            <w:tcW w:w="907" w:type="pct"/>
          </w:tcPr>
          <w:p w14:paraId="51A7F00A" w14:textId="77777777" w:rsidR="00C70C3B" w:rsidRDefault="00C70C3B" w:rsidP="007361DE">
            <w:pPr>
              <w:pStyle w:val="CEPATabletext"/>
              <w:rPr>
                <w:lang w:val="en-US"/>
              </w:rPr>
            </w:pPr>
            <w:r w:rsidRPr="00AC0AE1">
              <w:rPr>
                <w:lang w:val="en-US"/>
              </w:rPr>
              <w:t>Mozambique</w:t>
            </w:r>
          </w:p>
        </w:tc>
        <w:tc>
          <w:tcPr>
            <w:tcW w:w="1668" w:type="pct"/>
          </w:tcPr>
          <w:p w14:paraId="32B07FE2" w14:textId="77777777" w:rsidR="00C70C3B" w:rsidRDefault="00C70C3B" w:rsidP="007361DE">
            <w:pPr>
              <w:pStyle w:val="CEPATabletext"/>
              <w:rPr>
                <w:lang w:val="en-US"/>
              </w:rPr>
            </w:pPr>
            <w:r>
              <w:rPr>
                <w:lang w:val="en-US"/>
              </w:rPr>
              <w:t>No data</w:t>
            </w:r>
          </w:p>
        </w:tc>
        <w:tc>
          <w:tcPr>
            <w:tcW w:w="2425" w:type="pct"/>
          </w:tcPr>
          <w:p w14:paraId="3826C92F" w14:textId="77777777" w:rsidR="00C70C3B" w:rsidRDefault="00C70C3B" w:rsidP="007361DE">
            <w:pPr>
              <w:pStyle w:val="CEPATabletext"/>
              <w:rPr>
                <w:lang w:val="en-US"/>
              </w:rPr>
            </w:pPr>
            <w:r>
              <w:rPr>
                <w:lang w:val="en-US"/>
              </w:rPr>
              <w:t>Partially implemented</w:t>
            </w:r>
          </w:p>
        </w:tc>
      </w:tr>
      <w:tr w:rsidR="00C70C3B" w14:paraId="5C3FB171" w14:textId="77777777" w:rsidTr="007361DE">
        <w:tc>
          <w:tcPr>
            <w:tcW w:w="907" w:type="pct"/>
          </w:tcPr>
          <w:p w14:paraId="13995903" w14:textId="77777777" w:rsidR="00C70C3B" w:rsidRDefault="00C70C3B" w:rsidP="007361DE">
            <w:pPr>
              <w:pStyle w:val="CEPATabletext"/>
              <w:rPr>
                <w:lang w:val="en-US"/>
              </w:rPr>
            </w:pPr>
            <w:r w:rsidRPr="00AC0AE1">
              <w:rPr>
                <w:lang w:val="en-US"/>
              </w:rPr>
              <w:t>South Africa</w:t>
            </w:r>
          </w:p>
        </w:tc>
        <w:tc>
          <w:tcPr>
            <w:tcW w:w="1668" w:type="pct"/>
          </w:tcPr>
          <w:p w14:paraId="7CF88A40" w14:textId="77777777" w:rsidR="00C70C3B" w:rsidRDefault="00C70C3B" w:rsidP="007361DE">
            <w:pPr>
              <w:pStyle w:val="CEPATabletext"/>
              <w:rPr>
                <w:lang w:val="en-US"/>
              </w:rPr>
            </w:pPr>
            <w:r>
              <w:rPr>
                <w:lang w:val="en-US"/>
              </w:rPr>
              <w:t>50-74%</w:t>
            </w:r>
          </w:p>
        </w:tc>
        <w:tc>
          <w:tcPr>
            <w:tcW w:w="2425" w:type="pct"/>
          </w:tcPr>
          <w:p w14:paraId="65DCA1FF" w14:textId="77777777" w:rsidR="00C70C3B" w:rsidRDefault="00C70C3B" w:rsidP="007361DE">
            <w:pPr>
              <w:pStyle w:val="CEPATabletext"/>
              <w:rPr>
                <w:lang w:val="en-US"/>
              </w:rPr>
            </w:pPr>
            <w:r>
              <w:rPr>
                <w:lang w:val="en-US"/>
              </w:rPr>
              <w:t>Fully implemented</w:t>
            </w:r>
          </w:p>
        </w:tc>
      </w:tr>
      <w:tr w:rsidR="00C70C3B" w14:paraId="4BF6B66B" w14:textId="77777777" w:rsidTr="007361DE">
        <w:tc>
          <w:tcPr>
            <w:tcW w:w="907" w:type="pct"/>
          </w:tcPr>
          <w:p w14:paraId="128714EB" w14:textId="77777777" w:rsidR="00C70C3B" w:rsidRDefault="00C70C3B" w:rsidP="007361DE">
            <w:pPr>
              <w:pStyle w:val="CEPATabletext"/>
              <w:rPr>
                <w:lang w:val="en-US"/>
              </w:rPr>
            </w:pPr>
            <w:r w:rsidRPr="00AC0AE1">
              <w:rPr>
                <w:lang w:val="en-US"/>
              </w:rPr>
              <w:t>Swaziland</w:t>
            </w:r>
          </w:p>
        </w:tc>
        <w:tc>
          <w:tcPr>
            <w:tcW w:w="1668" w:type="pct"/>
          </w:tcPr>
          <w:p w14:paraId="633A3F2E" w14:textId="77777777" w:rsidR="00C70C3B" w:rsidRDefault="00C70C3B" w:rsidP="007361DE">
            <w:pPr>
              <w:pStyle w:val="CEPATabletext"/>
              <w:rPr>
                <w:lang w:val="en-US"/>
              </w:rPr>
            </w:pPr>
            <w:r>
              <w:rPr>
                <w:lang w:val="en-US"/>
              </w:rPr>
              <w:t>&lt;50%</w:t>
            </w:r>
          </w:p>
        </w:tc>
        <w:tc>
          <w:tcPr>
            <w:tcW w:w="2425" w:type="pct"/>
          </w:tcPr>
          <w:p w14:paraId="4C96B04F" w14:textId="77777777" w:rsidR="00C70C3B" w:rsidRDefault="00C70C3B" w:rsidP="007361DE">
            <w:pPr>
              <w:pStyle w:val="CEPATabletext"/>
              <w:rPr>
                <w:lang w:val="en-US"/>
              </w:rPr>
            </w:pPr>
            <w:r>
              <w:rPr>
                <w:lang w:val="en-US"/>
              </w:rPr>
              <w:t>Fully implemented</w:t>
            </w:r>
          </w:p>
        </w:tc>
      </w:tr>
      <w:tr w:rsidR="00C70C3B" w14:paraId="34FA8D1C" w14:textId="77777777" w:rsidTr="007361DE">
        <w:tc>
          <w:tcPr>
            <w:tcW w:w="907" w:type="pct"/>
          </w:tcPr>
          <w:p w14:paraId="52C0FA0A" w14:textId="77777777" w:rsidR="00C70C3B" w:rsidRDefault="00C70C3B" w:rsidP="007361DE">
            <w:pPr>
              <w:pStyle w:val="CEPATabletext"/>
              <w:rPr>
                <w:lang w:val="en-US"/>
              </w:rPr>
            </w:pPr>
            <w:r w:rsidRPr="00AC0AE1">
              <w:rPr>
                <w:lang w:val="en-US"/>
              </w:rPr>
              <w:t>Uganda</w:t>
            </w:r>
          </w:p>
        </w:tc>
        <w:tc>
          <w:tcPr>
            <w:tcW w:w="1668" w:type="pct"/>
          </w:tcPr>
          <w:p w14:paraId="5045434C" w14:textId="77777777" w:rsidR="00C70C3B" w:rsidRDefault="00C70C3B" w:rsidP="007361DE">
            <w:pPr>
              <w:pStyle w:val="CEPATabletext"/>
              <w:rPr>
                <w:lang w:val="en-US"/>
              </w:rPr>
            </w:pPr>
            <w:r>
              <w:rPr>
                <w:lang w:val="en-US"/>
              </w:rPr>
              <w:t>No data</w:t>
            </w:r>
          </w:p>
        </w:tc>
        <w:tc>
          <w:tcPr>
            <w:tcW w:w="2425" w:type="pct"/>
          </w:tcPr>
          <w:p w14:paraId="0C33A982" w14:textId="77777777" w:rsidR="00C70C3B" w:rsidRDefault="00C70C3B" w:rsidP="007361DE">
            <w:pPr>
              <w:pStyle w:val="CEPATabletext"/>
              <w:rPr>
                <w:lang w:val="en-US"/>
              </w:rPr>
            </w:pPr>
            <w:r>
              <w:rPr>
                <w:lang w:val="en-US"/>
              </w:rPr>
              <w:t>Fully implemented</w:t>
            </w:r>
          </w:p>
        </w:tc>
      </w:tr>
      <w:tr w:rsidR="00C70C3B" w14:paraId="22FFE2E1" w14:textId="77777777" w:rsidTr="007361DE">
        <w:tc>
          <w:tcPr>
            <w:tcW w:w="907" w:type="pct"/>
          </w:tcPr>
          <w:p w14:paraId="0B043D72" w14:textId="77777777" w:rsidR="00C70C3B" w:rsidRDefault="00C70C3B" w:rsidP="007361DE">
            <w:pPr>
              <w:pStyle w:val="CEPATabletext"/>
              <w:rPr>
                <w:lang w:val="en-US"/>
              </w:rPr>
            </w:pPr>
            <w:r w:rsidRPr="00AC0AE1">
              <w:rPr>
                <w:lang w:val="en-US"/>
              </w:rPr>
              <w:t>Zimbabwe</w:t>
            </w:r>
          </w:p>
        </w:tc>
        <w:tc>
          <w:tcPr>
            <w:tcW w:w="1668" w:type="pct"/>
          </w:tcPr>
          <w:p w14:paraId="2D972C46" w14:textId="57742E18" w:rsidR="00C70C3B" w:rsidRDefault="00C70C3B" w:rsidP="007361DE">
            <w:pPr>
              <w:pStyle w:val="CEPATabletext"/>
              <w:rPr>
                <w:lang w:val="en-US"/>
              </w:rPr>
            </w:pPr>
            <w:r>
              <w:rPr>
                <w:lang w:val="en-US"/>
              </w:rPr>
              <w:t>&lt;50%</w:t>
            </w:r>
            <w:r w:rsidR="00FD723A">
              <w:rPr>
                <w:rStyle w:val="FootnoteReference"/>
                <w:lang w:val="en-US"/>
              </w:rPr>
              <w:footnoteReference w:id="105"/>
            </w:r>
          </w:p>
        </w:tc>
        <w:tc>
          <w:tcPr>
            <w:tcW w:w="2425" w:type="pct"/>
          </w:tcPr>
          <w:p w14:paraId="1B8A482F" w14:textId="77777777" w:rsidR="00C70C3B" w:rsidRDefault="00C70C3B" w:rsidP="007361DE">
            <w:pPr>
              <w:pStyle w:val="CEPATabletext"/>
              <w:rPr>
                <w:lang w:val="en-US"/>
              </w:rPr>
            </w:pPr>
            <w:r>
              <w:rPr>
                <w:lang w:val="en-US"/>
              </w:rPr>
              <w:t>Partially implemented</w:t>
            </w:r>
          </w:p>
        </w:tc>
      </w:tr>
      <w:tr w:rsidR="00C70C3B" w14:paraId="1CF42AF8" w14:textId="77777777" w:rsidTr="007361DE">
        <w:tc>
          <w:tcPr>
            <w:tcW w:w="907" w:type="pct"/>
          </w:tcPr>
          <w:p w14:paraId="4DAFA73B" w14:textId="77777777" w:rsidR="00C70C3B" w:rsidRDefault="00C70C3B" w:rsidP="007361DE">
            <w:pPr>
              <w:pStyle w:val="CEPATabletext"/>
              <w:rPr>
                <w:lang w:val="en-US"/>
              </w:rPr>
            </w:pPr>
            <w:r>
              <w:rPr>
                <w:lang w:val="en-US"/>
              </w:rPr>
              <w:t>Eastern and Southern Africa (21 countries)</w:t>
            </w:r>
          </w:p>
        </w:tc>
        <w:tc>
          <w:tcPr>
            <w:tcW w:w="1668" w:type="pct"/>
          </w:tcPr>
          <w:p w14:paraId="66AF65F0" w14:textId="77777777" w:rsidR="00C70C3B" w:rsidRDefault="00C70C3B" w:rsidP="007361DE">
            <w:pPr>
              <w:pStyle w:val="CEPATabletext"/>
              <w:rPr>
                <w:lang w:val="en-US"/>
              </w:rPr>
            </w:pPr>
            <w:r>
              <w:rPr>
                <w:lang w:val="en-US"/>
              </w:rPr>
              <w:t>1 country with 75% and above (Comoros)</w:t>
            </w:r>
          </w:p>
          <w:p w14:paraId="71E68A6A" w14:textId="77777777" w:rsidR="00C70C3B" w:rsidRDefault="00C70C3B" w:rsidP="007361DE">
            <w:pPr>
              <w:pStyle w:val="CEPATabletext"/>
              <w:rPr>
                <w:lang w:val="en-US"/>
              </w:rPr>
            </w:pPr>
            <w:r>
              <w:rPr>
                <w:lang w:val="en-US"/>
              </w:rPr>
              <w:t>3 countries with 50-74% (Malawi, Seychelles and South Africa)</w:t>
            </w:r>
          </w:p>
          <w:p w14:paraId="345909BB" w14:textId="77777777" w:rsidR="00C70C3B" w:rsidRDefault="00C70C3B" w:rsidP="007361DE">
            <w:pPr>
              <w:pStyle w:val="CEPATabletext"/>
              <w:rPr>
                <w:lang w:val="en-US"/>
              </w:rPr>
            </w:pPr>
            <w:r>
              <w:rPr>
                <w:lang w:val="en-US"/>
              </w:rPr>
              <w:t>8 countries with less than 50%</w:t>
            </w:r>
          </w:p>
          <w:p w14:paraId="56D72346" w14:textId="77777777" w:rsidR="00C70C3B" w:rsidRDefault="00C70C3B" w:rsidP="007361DE">
            <w:pPr>
              <w:pStyle w:val="CEPATabletext"/>
              <w:rPr>
                <w:lang w:val="en-US"/>
              </w:rPr>
            </w:pPr>
            <w:r>
              <w:rPr>
                <w:lang w:val="en-US"/>
              </w:rPr>
              <w:t>9 countries – no data</w:t>
            </w:r>
          </w:p>
        </w:tc>
        <w:tc>
          <w:tcPr>
            <w:tcW w:w="2425" w:type="pct"/>
          </w:tcPr>
          <w:p w14:paraId="16711431" w14:textId="77777777" w:rsidR="00C70C3B" w:rsidRDefault="00C70C3B" w:rsidP="007361DE">
            <w:pPr>
              <w:pStyle w:val="CEPATabletext"/>
              <w:rPr>
                <w:lang w:val="en-US"/>
              </w:rPr>
            </w:pPr>
            <w:r>
              <w:rPr>
                <w:lang w:val="en-US"/>
              </w:rPr>
              <w:t>13 countries have fully implemented policies</w:t>
            </w:r>
          </w:p>
          <w:p w14:paraId="0B205486" w14:textId="77777777" w:rsidR="00C70C3B" w:rsidRDefault="00C70C3B" w:rsidP="007361DE">
            <w:pPr>
              <w:pStyle w:val="CEPATabletext"/>
              <w:rPr>
                <w:lang w:val="en-US"/>
              </w:rPr>
            </w:pPr>
            <w:r>
              <w:rPr>
                <w:lang w:val="en-US"/>
              </w:rPr>
              <w:t>8 countries have partially implemented policies</w:t>
            </w:r>
          </w:p>
          <w:p w14:paraId="72575F69" w14:textId="77777777" w:rsidR="00C70C3B" w:rsidRDefault="00C70C3B" w:rsidP="007361DE">
            <w:pPr>
              <w:pStyle w:val="CEPATabletext"/>
              <w:rPr>
                <w:lang w:val="en-US"/>
              </w:rPr>
            </w:pPr>
            <w:r>
              <w:rPr>
                <w:lang w:val="en-US"/>
              </w:rPr>
              <w:t>0 countries have only targeted testing or no policy</w:t>
            </w:r>
          </w:p>
        </w:tc>
      </w:tr>
    </w:tbl>
    <w:p w14:paraId="2183892F" w14:textId="77777777" w:rsidR="00C70C3B" w:rsidRDefault="00C70C3B" w:rsidP="00A4531D">
      <w:pPr>
        <w:pStyle w:val="CEPAReportText"/>
      </w:pP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808080" w:themeFill="background1" w:themeFillShade="80"/>
        <w:tblLook w:val="04A0" w:firstRow="1" w:lastRow="0" w:firstColumn="1" w:lastColumn="0" w:noHBand="0" w:noVBand="1"/>
      </w:tblPr>
      <w:tblGrid>
        <w:gridCol w:w="9016"/>
      </w:tblGrid>
      <w:tr w:rsidR="00125677" w:rsidRPr="00B943ED" w14:paraId="2C5940BD" w14:textId="77777777" w:rsidTr="00125677">
        <w:trPr>
          <w:trHeight w:val="400"/>
          <w:tblHeader/>
        </w:trPr>
        <w:tc>
          <w:tcPr>
            <w:tcW w:w="5000" w:type="pct"/>
            <w:shd w:val="clear" w:color="auto" w:fill="7EA8DC" w:themeFill="text1" w:themeFillTint="80"/>
          </w:tcPr>
          <w:p w14:paraId="66C27E9E" w14:textId="77777777" w:rsidR="00125677" w:rsidRPr="00B943ED" w:rsidRDefault="00125677" w:rsidP="00125677">
            <w:pPr>
              <w:pStyle w:val="CEPATabletext"/>
              <w:rPr>
                <w:b/>
                <w:color w:val="FFFFFF"/>
                <w:sz w:val="24"/>
              </w:rPr>
            </w:pPr>
            <w:r w:rsidRPr="00B943ED">
              <w:rPr>
                <w:b/>
                <w:color w:val="FFFFFF"/>
                <w:sz w:val="24"/>
              </w:rPr>
              <w:t>Summary findings:</w:t>
            </w:r>
          </w:p>
          <w:p w14:paraId="4E805567" w14:textId="25C28BE6" w:rsidR="00125677" w:rsidRPr="00B943ED" w:rsidRDefault="00BE4CF4" w:rsidP="0026453B">
            <w:pPr>
              <w:pStyle w:val="CEPATabletext"/>
              <w:rPr>
                <w:color w:val="FFFFFF"/>
                <w:sz w:val="24"/>
              </w:rPr>
            </w:pPr>
            <w:r w:rsidRPr="00BE4CF4">
              <w:rPr>
                <w:color w:val="FFFFFF"/>
                <w:sz w:val="24"/>
              </w:rPr>
              <w:t xml:space="preserve">There has been varying experience across the MSF programmes in terms of extent of hand-over to the government and other donors, with some programmes still continuing to be delivered by MSF, although with certain services or approaches being adopted by </w:t>
            </w:r>
            <w:r w:rsidR="0026453B">
              <w:rPr>
                <w:color w:val="FFFFFF"/>
                <w:sz w:val="24"/>
              </w:rPr>
              <w:t xml:space="preserve">the </w:t>
            </w:r>
            <w:r w:rsidRPr="00BE4CF4">
              <w:rPr>
                <w:color w:val="FFFFFF"/>
                <w:sz w:val="24"/>
              </w:rPr>
              <w:t>government. Sustainability of programmes continues to be a challenge in resource-limited settings, with some evidence of declining service provision post MSF hand-over. The</w:t>
            </w:r>
            <w:r w:rsidR="007D0D99">
              <w:rPr>
                <w:color w:val="FFFFFF"/>
                <w:sz w:val="24"/>
              </w:rPr>
              <w:t xml:space="preserve"> main contribution of the project </w:t>
            </w:r>
            <w:r w:rsidRPr="00BE4CF4">
              <w:rPr>
                <w:color w:val="FFFFFF"/>
                <w:sz w:val="24"/>
              </w:rPr>
              <w:t xml:space="preserve">however </w:t>
            </w:r>
            <w:r w:rsidR="007D0D99">
              <w:rPr>
                <w:color w:val="FFFFFF"/>
                <w:sz w:val="24"/>
              </w:rPr>
              <w:t xml:space="preserve">has been its demonstration of proof of concept which </w:t>
            </w:r>
            <w:bookmarkStart w:id="437" w:name="_Hlk506470945"/>
            <w:r w:rsidRPr="00BE4CF4">
              <w:rPr>
                <w:color w:val="FFFFFF"/>
                <w:sz w:val="24"/>
              </w:rPr>
              <w:t>has</w:t>
            </w:r>
            <w:r w:rsidR="0026453B">
              <w:rPr>
                <w:color w:val="FFFFFF"/>
                <w:sz w:val="24"/>
              </w:rPr>
              <w:t xml:space="preserve"> helped</w:t>
            </w:r>
            <w:r w:rsidR="007D0D99">
              <w:rPr>
                <w:color w:val="FFFFFF"/>
                <w:sz w:val="24"/>
              </w:rPr>
              <w:t xml:space="preserve"> set the stage for longer term scalability</w:t>
            </w:r>
            <w:r w:rsidR="00143520">
              <w:rPr>
                <w:color w:val="FFFFFF"/>
                <w:sz w:val="24"/>
              </w:rPr>
              <w:t xml:space="preserve"> of </w:t>
            </w:r>
            <w:r w:rsidRPr="00BE4CF4">
              <w:rPr>
                <w:color w:val="FFFFFF"/>
                <w:sz w:val="24"/>
              </w:rPr>
              <w:t>routine VL monitoring.</w:t>
            </w:r>
            <w:bookmarkEnd w:id="437"/>
          </w:p>
        </w:tc>
      </w:tr>
    </w:tbl>
    <w:p w14:paraId="192ECB4F" w14:textId="77777777" w:rsidR="001B72E2" w:rsidRDefault="001B72E2">
      <w:pPr>
        <w:spacing w:after="160" w:line="259" w:lineRule="auto"/>
        <w:jc w:val="left"/>
        <w:rPr>
          <w:rFonts w:cs="Arial"/>
          <w:b/>
          <w:bCs/>
          <w:smallCaps/>
          <w:kern w:val="32"/>
          <w:sz w:val="28"/>
          <w:szCs w:val="28"/>
        </w:rPr>
      </w:pPr>
      <w:bookmarkStart w:id="438" w:name="_Toc433213117"/>
      <w:bookmarkStart w:id="439" w:name="_Toc307070862"/>
      <w:bookmarkStart w:id="440" w:name="_Toc433216994"/>
      <w:bookmarkStart w:id="441" w:name="_Toc435180848"/>
      <w:bookmarkStart w:id="442" w:name="_Toc435188003"/>
      <w:bookmarkStart w:id="443" w:name="_Toc435198242"/>
      <w:bookmarkStart w:id="444" w:name="_Toc479157487"/>
      <w:bookmarkStart w:id="445" w:name="_Toc480382924"/>
      <w:bookmarkStart w:id="446" w:name="_Toc480382973"/>
      <w:bookmarkStart w:id="447" w:name="_Toc480401079"/>
      <w:bookmarkStart w:id="448" w:name="_Toc480448406"/>
      <w:bookmarkStart w:id="449" w:name="_Toc480475260"/>
      <w:bookmarkStart w:id="450" w:name="_Toc480476416"/>
      <w:bookmarkStart w:id="451" w:name="_Toc480546092"/>
      <w:bookmarkStart w:id="452" w:name="_Toc480549679"/>
      <w:bookmarkStart w:id="453" w:name="_Toc480553073"/>
      <w:bookmarkStart w:id="454" w:name="_Toc497836036"/>
      <w:bookmarkStart w:id="455" w:name="_Toc498093557"/>
      <w:bookmarkStart w:id="456" w:name="_Toc498094653"/>
      <w:bookmarkStart w:id="457" w:name="_Toc499825751"/>
      <w:bookmarkStart w:id="458" w:name="_Toc499827495"/>
      <w:bookmarkStart w:id="459" w:name="_Toc500074989"/>
      <w:bookmarkStart w:id="460" w:name="_Toc500077855"/>
      <w:bookmarkStart w:id="461" w:name="_Toc500179389"/>
      <w:r>
        <w:br w:type="page"/>
      </w:r>
    </w:p>
    <w:p w14:paraId="35AD8E29" w14:textId="4297B0E8" w:rsidR="009B15E1" w:rsidRDefault="009B15E1" w:rsidP="009B15E1">
      <w:pPr>
        <w:pStyle w:val="Heading1"/>
        <w:numPr>
          <w:ilvl w:val="0"/>
          <w:numId w:val="2"/>
        </w:numPr>
        <w:rPr>
          <w:lang w:val="en-US"/>
        </w:rPr>
      </w:pPr>
      <w:bookmarkStart w:id="462" w:name="_Toc500445656"/>
      <w:bookmarkStart w:id="463" w:name="_Toc500503136"/>
      <w:bookmarkStart w:id="464" w:name="_Toc500508117"/>
      <w:bookmarkStart w:id="465" w:name="_Toc500512845"/>
      <w:bookmarkStart w:id="466" w:name="_Toc500517771"/>
      <w:bookmarkStart w:id="467" w:name="_Toc500519586"/>
      <w:bookmarkStart w:id="468" w:name="_Toc500524433"/>
      <w:bookmarkStart w:id="469" w:name="_Toc506417405"/>
      <w:bookmarkStart w:id="470" w:name="_Toc515359229"/>
      <w:bookmarkStart w:id="471" w:name="_Hlk506471753"/>
      <w:r>
        <w:rPr>
          <w:lang w:val="en-US"/>
        </w:rPr>
        <w:t>Conclusions</w:t>
      </w:r>
      <w:r w:rsidR="00256790">
        <w:rPr>
          <w:lang w:val="en-US"/>
        </w:rPr>
        <w:t xml:space="preserve"> and </w:t>
      </w:r>
      <w:r>
        <w:rPr>
          <w:lang w:val="en-US"/>
        </w:rPr>
        <w:t>lessons learnt</w:t>
      </w:r>
      <w:bookmarkEnd w:id="462"/>
      <w:bookmarkEnd w:id="463"/>
      <w:bookmarkEnd w:id="464"/>
      <w:bookmarkEnd w:id="465"/>
      <w:bookmarkEnd w:id="466"/>
      <w:bookmarkEnd w:id="467"/>
      <w:bookmarkEnd w:id="468"/>
      <w:bookmarkEnd w:id="469"/>
      <w:bookmarkEnd w:id="470"/>
    </w:p>
    <w:p w14:paraId="3EB7E847" w14:textId="3C08440D" w:rsidR="0007066A" w:rsidRDefault="0007066A" w:rsidP="0007066A">
      <w:pPr>
        <w:pStyle w:val="CEPAReportText"/>
        <w:rPr>
          <w:lang w:val="en-US"/>
        </w:rPr>
      </w:pPr>
      <w:bookmarkStart w:id="472" w:name="_Hlk506473384"/>
      <w:r>
        <w:rPr>
          <w:lang w:val="en-US"/>
        </w:rPr>
        <w:t xml:space="preserve">The MSF project has been a highly relevant project, initiated in a context where there was limited commitment, funding and policy progression on </w:t>
      </w:r>
      <w:r w:rsidR="00AD6ADB">
        <w:rPr>
          <w:lang w:val="en-US"/>
        </w:rPr>
        <w:t>VL</w:t>
      </w:r>
      <w:r>
        <w:rPr>
          <w:lang w:val="en-US"/>
        </w:rPr>
        <w:t xml:space="preserve"> monitoring. </w:t>
      </w:r>
      <w:bookmarkStart w:id="473" w:name="_Hlk506473427"/>
      <w:bookmarkEnd w:id="472"/>
      <w:r w:rsidR="00256790">
        <w:rPr>
          <w:lang w:val="en-US"/>
        </w:rPr>
        <w:t xml:space="preserve">The project is recognised as timely and important, given the significant changes with regard to the global HIV guidelines on VL testing and the related international targets of 90-90-90. </w:t>
      </w:r>
      <w:r>
        <w:rPr>
          <w:lang w:val="en-US"/>
        </w:rPr>
        <w:t>With the project objective of developing and delivering optimal models of care for HIV diagnosis and monitoring, it has helped create a strong body of evidence and experience that will pave the way for uptake, adoption and scale-up in countries</w:t>
      </w:r>
      <w:bookmarkEnd w:id="473"/>
      <w:r>
        <w:rPr>
          <w:lang w:val="en-US"/>
        </w:rPr>
        <w:t xml:space="preserve">. </w:t>
      </w:r>
      <w:r w:rsidR="00D15BD8">
        <w:rPr>
          <w:lang w:val="en-US"/>
        </w:rPr>
        <w:t>Indeed, our consultations at the global and country levels have emphasised the seminal role of MSF in the field of VL testing</w:t>
      </w:r>
      <w:r w:rsidR="00256790">
        <w:rPr>
          <w:lang w:val="en-US"/>
        </w:rPr>
        <w:t xml:space="preserve">. </w:t>
      </w:r>
      <w:r w:rsidR="00D15BD8">
        <w:rPr>
          <w:lang w:val="en-US"/>
        </w:rPr>
        <w:t xml:space="preserve"> </w:t>
      </w:r>
    </w:p>
    <w:p w14:paraId="2572D696" w14:textId="5FA49299" w:rsidR="000B31F6" w:rsidRDefault="000B31F6" w:rsidP="00017EA8">
      <w:pPr>
        <w:pStyle w:val="CEPAReportText"/>
        <w:rPr>
          <w:lang w:val="en-US"/>
        </w:rPr>
      </w:pPr>
      <w:r>
        <w:rPr>
          <w:lang w:val="en-US"/>
        </w:rPr>
        <w:t xml:space="preserve">The project has been extremely complex, with an ambitious goal of demonstrating the feasibility and use of routine VL testing in countries that are largely resource-constrained. </w:t>
      </w:r>
      <w:r w:rsidR="00017EA8">
        <w:rPr>
          <w:lang w:val="en-US"/>
        </w:rPr>
        <w:t xml:space="preserve">MSF’s task has been further complicated by pipeline </w:t>
      </w:r>
      <w:r w:rsidR="00036020">
        <w:rPr>
          <w:lang w:val="en-US"/>
        </w:rPr>
        <w:t xml:space="preserve">diagnostic </w:t>
      </w:r>
      <w:r w:rsidR="00017EA8">
        <w:rPr>
          <w:lang w:val="en-US"/>
        </w:rPr>
        <w:t xml:space="preserve">product delays and the high prices at which </w:t>
      </w:r>
      <w:r w:rsidR="00036020">
        <w:rPr>
          <w:lang w:val="en-US"/>
        </w:rPr>
        <w:t xml:space="preserve">these </w:t>
      </w:r>
      <w:r w:rsidR="00017EA8">
        <w:rPr>
          <w:lang w:val="en-US"/>
        </w:rPr>
        <w:t xml:space="preserve">platforms have been made available. </w:t>
      </w:r>
      <w:r>
        <w:rPr>
          <w:lang w:val="en-US"/>
        </w:rPr>
        <w:t xml:space="preserve">MSF has approached these challenges well, nimbly adapting and revising its country </w:t>
      </w:r>
      <w:r w:rsidR="00036020">
        <w:rPr>
          <w:lang w:val="en-US"/>
        </w:rPr>
        <w:t>plan</w:t>
      </w:r>
      <w:r w:rsidR="00FE0863">
        <w:rPr>
          <w:lang w:val="en-US"/>
        </w:rPr>
        <w:t>s</w:t>
      </w:r>
      <w:r>
        <w:rPr>
          <w:lang w:val="en-US"/>
        </w:rPr>
        <w:t xml:space="preserve"> and diagnostic platform selection to suit the needs of the specific </w:t>
      </w:r>
      <w:r w:rsidR="00036020">
        <w:rPr>
          <w:lang w:val="en-US"/>
        </w:rPr>
        <w:t xml:space="preserve">and evolving </w:t>
      </w:r>
      <w:r>
        <w:rPr>
          <w:lang w:val="en-US"/>
        </w:rPr>
        <w:t xml:space="preserve">context. </w:t>
      </w:r>
    </w:p>
    <w:p w14:paraId="660BDD78" w14:textId="6E5921B6" w:rsidR="00056874" w:rsidRDefault="00D15BD8" w:rsidP="00056874">
      <w:pPr>
        <w:pStyle w:val="CEPAReportText"/>
        <w:rPr>
          <w:lang w:val="en-US"/>
        </w:rPr>
      </w:pPr>
      <w:r>
        <w:rPr>
          <w:lang w:val="en-US"/>
        </w:rPr>
        <w:t>While lower than planned, MSF has</w:t>
      </w:r>
      <w:r w:rsidR="00056874">
        <w:rPr>
          <w:lang w:val="en-US"/>
        </w:rPr>
        <w:t xml:space="preserve"> conducted substantial </w:t>
      </w:r>
      <w:r w:rsidR="00DC17C0">
        <w:rPr>
          <w:lang w:val="en-US"/>
        </w:rPr>
        <w:t>VL testing</w:t>
      </w:r>
      <w:r w:rsidR="00056874">
        <w:rPr>
          <w:lang w:val="en-US"/>
        </w:rPr>
        <w:t xml:space="preserve"> across a number of countries and through the application of a wide-range of technologies</w:t>
      </w:r>
      <w:r>
        <w:rPr>
          <w:lang w:val="en-US"/>
        </w:rPr>
        <w:t xml:space="preserve"> and models of care</w:t>
      </w:r>
      <w:r w:rsidR="00056874">
        <w:rPr>
          <w:lang w:val="en-US"/>
        </w:rPr>
        <w:t xml:space="preserve">. The project </w:t>
      </w:r>
      <w:r w:rsidR="00036020">
        <w:rPr>
          <w:lang w:val="en-US"/>
        </w:rPr>
        <w:t xml:space="preserve">has </w:t>
      </w:r>
      <w:r w:rsidR="00056874">
        <w:rPr>
          <w:lang w:val="en-US"/>
        </w:rPr>
        <w:t xml:space="preserve">demonstrated a number of successes, including the feasibility of high VL coverage in project sites (e.g. Buhera, Zimbabwe (91%), Shiselweni, Swaziland and Arua, Uganda (85%)); the value of POC testing through experiences of very rapid test </w:t>
      </w:r>
      <w:r w:rsidR="003F703F">
        <w:rPr>
          <w:lang w:val="en-US"/>
        </w:rPr>
        <w:t>TAT</w:t>
      </w:r>
      <w:r w:rsidR="00D605B7">
        <w:rPr>
          <w:lang w:val="en-US"/>
        </w:rPr>
        <w:t xml:space="preserve"> (one day)</w:t>
      </w:r>
      <w:r w:rsidR="00056874">
        <w:rPr>
          <w:lang w:val="en-US"/>
        </w:rPr>
        <w:t xml:space="preserve">, low loss of results </w:t>
      </w:r>
      <w:r w:rsidR="002C2926">
        <w:t xml:space="preserve">(&lt;1%) </w:t>
      </w:r>
      <w:r w:rsidR="00056874">
        <w:rPr>
          <w:lang w:val="en-US"/>
        </w:rPr>
        <w:t>and relatively high switching rates to second line regimens</w:t>
      </w:r>
      <w:r w:rsidR="002C2926">
        <w:rPr>
          <w:lang w:val="en-US"/>
        </w:rPr>
        <w:t xml:space="preserve"> (</w:t>
      </w:r>
      <w:r w:rsidR="002C2926">
        <w:t xml:space="preserve">68% of eligible ART patients changed to a second-line regimen </w:t>
      </w:r>
      <w:r w:rsidR="00056874">
        <w:rPr>
          <w:lang w:val="en-US"/>
        </w:rPr>
        <w:t>(Malawi Chiradzulu)</w:t>
      </w:r>
      <w:r w:rsidR="002C2926">
        <w:rPr>
          <w:lang w:val="en-US"/>
        </w:rPr>
        <w:t>)</w:t>
      </w:r>
      <w:r w:rsidR="00056874">
        <w:rPr>
          <w:lang w:val="en-US"/>
        </w:rPr>
        <w:t>; decentralised approach</w:t>
      </w:r>
      <w:r w:rsidR="00DC17C0">
        <w:rPr>
          <w:lang w:val="en-US"/>
        </w:rPr>
        <w:t>es</w:t>
      </w:r>
      <w:r w:rsidR="00056874">
        <w:rPr>
          <w:lang w:val="en-US"/>
        </w:rPr>
        <w:t xml:space="preserve">, including DBS, which reduced a number of access barriers (e.g. in Zimbabwe and Malawi (Thyolo), where DBS is used for 90% of VL testing); developing of laboratory strategies for VL testing; amongst others. </w:t>
      </w:r>
      <w:r w:rsidR="008C234E">
        <w:rPr>
          <w:lang w:val="en-US"/>
        </w:rPr>
        <w:t xml:space="preserve">Further, </w:t>
      </w:r>
      <w:r w:rsidR="006D2D83">
        <w:rPr>
          <w:lang w:val="en-US"/>
        </w:rPr>
        <w:t xml:space="preserve">while </w:t>
      </w:r>
      <w:r w:rsidR="008C234E">
        <w:rPr>
          <w:lang w:val="en-US"/>
        </w:rPr>
        <w:t xml:space="preserve">CD4 testing was also lower than planned, appropriately reflecting the changing WHO guidelines, the project made </w:t>
      </w:r>
      <w:r w:rsidR="008C234E">
        <w:t>an important contribution by highlighting of the risk of the dramatic decline in this testing.</w:t>
      </w:r>
    </w:p>
    <w:p w14:paraId="4BD267C2" w14:textId="29B40F48" w:rsidR="00DC17C0" w:rsidRDefault="00DC17C0" w:rsidP="00056874">
      <w:pPr>
        <w:pStyle w:val="CEPAReportText"/>
        <w:rPr>
          <w:lang w:val="en-US"/>
        </w:rPr>
      </w:pPr>
      <w:r>
        <w:rPr>
          <w:lang w:val="en-US"/>
        </w:rPr>
        <w:t xml:space="preserve">These demonstrations </w:t>
      </w:r>
      <w:r w:rsidR="00036020">
        <w:rPr>
          <w:lang w:val="en-US"/>
        </w:rPr>
        <w:t xml:space="preserve">and engaged working with governments </w:t>
      </w:r>
      <w:r>
        <w:rPr>
          <w:lang w:val="en-US"/>
        </w:rPr>
        <w:t xml:space="preserve">have </w:t>
      </w:r>
      <w:r w:rsidR="00D8480E">
        <w:rPr>
          <w:lang w:val="en-US"/>
        </w:rPr>
        <w:t>contributed to</w:t>
      </w:r>
      <w:r w:rsidR="00036020">
        <w:rPr>
          <w:lang w:val="en-US"/>
        </w:rPr>
        <w:t xml:space="preserve"> hand-over</w:t>
      </w:r>
      <w:r w:rsidR="00C0511A">
        <w:rPr>
          <w:lang w:val="en-US"/>
        </w:rPr>
        <w:t xml:space="preserve"> of a</w:t>
      </w:r>
      <w:r>
        <w:rPr>
          <w:lang w:val="en-US"/>
        </w:rPr>
        <w:t xml:space="preserve"> number of MSF programmes to the government and other donors, </w:t>
      </w:r>
      <w:r w:rsidR="00036020">
        <w:rPr>
          <w:lang w:val="en-US"/>
        </w:rPr>
        <w:t>particularly in the case of three of ten MSF programmes in Zim</w:t>
      </w:r>
      <w:r>
        <w:rPr>
          <w:lang w:val="en-US"/>
        </w:rPr>
        <w:t xml:space="preserve">babwe, Mozambique and Malawi Thyolo. Other MSF country programmes have not been as successful in terms of full hand-over, but select services and/ or approaches have been taken over by the government (e.g. targeted POC VL testing in Malawi Chiradzulu). </w:t>
      </w:r>
      <w:r w:rsidR="00820DBE">
        <w:rPr>
          <w:lang w:val="en-US"/>
        </w:rPr>
        <w:t xml:space="preserve">MSF continues to support these projects in country through their ongoing programmes, </w:t>
      </w:r>
      <w:r w:rsidR="00036020">
        <w:rPr>
          <w:lang w:val="en-US"/>
        </w:rPr>
        <w:t xml:space="preserve">which </w:t>
      </w:r>
      <w:r w:rsidR="00D978D9" w:rsidRPr="00D978D9">
        <w:rPr>
          <w:lang w:val="en-US"/>
        </w:rPr>
        <w:t>is understandable in a time of high competition for diminishing donor resources and static or declining government health budgets.</w:t>
      </w:r>
      <w:r w:rsidR="00237994">
        <w:rPr>
          <w:lang w:val="en-US"/>
        </w:rPr>
        <w:t xml:space="preserve"> However, </w:t>
      </w:r>
      <w:r w:rsidR="00A23B28">
        <w:rPr>
          <w:lang w:val="en-US"/>
        </w:rPr>
        <w:t>ultimately the programmes need to be handed over to the government and</w:t>
      </w:r>
      <w:r w:rsidR="00237994">
        <w:rPr>
          <w:lang w:val="en-US"/>
        </w:rPr>
        <w:t xml:space="preserve"> sustainability risks remain post MSF handover</w:t>
      </w:r>
      <w:r w:rsidR="00120CC5">
        <w:rPr>
          <w:lang w:val="en-US"/>
        </w:rPr>
        <w:t xml:space="preserve">, </w:t>
      </w:r>
      <w:bookmarkStart w:id="474" w:name="_Hlk513202702"/>
      <w:r w:rsidR="00120CC5">
        <w:rPr>
          <w:lang w:val="en-US"/>
        </w:rPr>
        <w:t xml:space="preserve">especially </w:t>
      </w:r>
      <w:r w:rsidR="009B481D">
        <w:rPr>
          <w:lang w:val="en-US"/>
        </w:rPr>
        <w:t>for</w:t>
      </w:r>
      <w:r w:rsidR="00120CC5">
        <w:rPr>
          <w:lang w:val="en-US"/>
        </w:rPr>
        <w:t xml:space="preserve"> MSF projects </w:t>
      </w:r>
      <w:r w:rsidR="009B481D">
        <w:rPr>
          <w:lang w:val="en-US"/>
        </w:rPr>
        <w:t xml:space="preserve">sites that are not fully integrated with government services. </w:t>
      </w:r>
      <w:bookmarkEnd w:id="474"/>
      <w:r w:rsidR="00820DBE" w:rsidRPr="00820DBE">
        <w:rPr>
          <w:lang w:val="en-US"/>
        </w:rPr>
        <w:t>The main contribution of the project however has been its demonstration of proof of concept which has set the stage for longer term scalability of routine VL monitoring.</w:t>
      </w:r>
    </w:p>
    <w:p w14:paraId="6FCB2DBA" w14:textId="753B40A7" w:rsidR="00017EA8" w:rsidRDefault="006D2D83" w:rsidP="00017EA8">
      <w:pPr>
        <w:pStyle w:val="CEPAReportText"/>
      </w:pPr>
      <w:r>
        <w:rPr>
          <w:lang w:val="en-US"/>
        </w:rPr>
        <w:t>There has been</w:t>
      </w:r>
      <w:r w:rsidR="00036020">
        <w:rPr>
          <w:lang w:val="en-US"/>
        </w:rPr>
        <w:t xml:space="preserve"> good progress in generating operational research outputs in terms of 40 peer-reviewed publications alongside advocacy and dissemination efforts at several international fora. </w:t>
      </w:r>
      <w:r w:rsidR="00017EA8">
        <w:t>Indeed, the project’s evidence-base has informed the development of WHO guidelines on HIV testing and treatment.</w:t>
      </w:r>
    </w:p>
    <w:p w14:paraId="56E5E0EC" w14:textId="0CE1CE7C" w:rsidR="00DC17C0" w:rsidRDefault="008C234E" w:rsidP="008C234E">
      <w:pPr>
        <w:pStyle w:val="CEPAReportText"/>
      </w:pPr>
      <w:r>
        <w:t xml:space="preserve">Notwithstanding the range of positives and benefits from the project, it is noted that its contribution has been more limited for POC VL and EID testing, mainly on account of delayed availability of technologies. </w:t>
      </w:r>
      <w:r w:rsidR="00D978D9">
        <w:t xml:space="preserve">Looking forward, it is also recognised that </w:t>
      </w:r>
      <w:r>
        <w:t xml:space="preserve">while </w:t>
      </w:r>
      <w:r w:rsidR="00D978D9">
        <w:t>the project demonstrated single-use platforms</w:t>
      </w:r>
      <w:r>
        <w:t xml:space="preserve">, </w:t>
      </w:r>
      <w:r w:rsidR="00D978D9">
        <w:t xml:space="preserve">multi-disease or polyvalent platforms are becoming increasingly more available and important in the context of integrated approaches to health. </w:t>
      </w:r>
    </w:p>
    <w:p w14:paraId="2E6DADBA" w14:textId="77777777" w:rsidR="00DF7302" w:rsidRDefault="008C234E" w:rsidP="00017EA8">
      <w:pPr>
        <w:pStyle w:val="CEPAReportText"/>
      </w:pPr>
      <w:r>
        <w:t>In addition</w:t>
      </w:r>
      <w:r w:rsidR="00EF5967">
        <w:t xml:space="preserve">, while the project well-complimented other Unitaid-funded HIV diagnostics grants in terms of scope and objectives, there was </w:t>
      </w:r>
      <w:r w:rsidR="00837E82">
        <w:t xml:space="preserve">relatively poor </w:t>
      </w:r>
      <w:r w:rsidR="00EF5967">
        <w:t>actual coordination between these grants</w:t>
      </w:r>
      <w:r>
        <w:t>. At the</w:t>
      </w:r>
      <w:r w:rsidR="00837E82">
        <w:t xml:space="preserve"> country-level, t</w:t>
      </w:r>
      <w:r w:rsidR="00EF5967">
        <w:t xml:space="preserve">his has varied (being more coordinated in Zimbabwe as compared to Malawi for example), </w:t>
      </w:r>
      <w:r>
        <w:t>and</w:t>
      </w:r>
      <w:r w:rsidR="00EF5967">
        <w:t xml:space="preserve"> represents a missed opportunity to harness the respective strengths and efficiencies across grants. </w:t>
      </w:r>
      <w:r>
        <w:t>Information sharing and coordination was also lacking amongst MSF units, with for example, two differing approaches being advocated for in Malawi</w:t>
      </w:r>
      <w:r w:rsidR="00EF5967">
        <w:t>. Alignment or coordination in this respect may have helped present a stronger evidence base for governments.</w:t>
      </w:r>
      <w:r w:rsidR="00DF7302">
        <w:t xml:space="preserve"> </w:t>
      </w:r>
    </w:p>
    <w:p w14:paraId="4D70B28A" w14:textId="40AE80E0" w:rsidR="00F844B4" w:rsidRDefault="00EF5967" w:rsidP="00017EA8">
      <w:pPr>
        <w:pStyle w:val="CEPAReportText"/>
        <w:rPr>
          <w:lang w:val="en-US"/>
        </w:rPr>
      </w:pPr>
      <w:r>
        <w:rPr>
          <w:lang w:val="en-US"/>
        </w:rPr>
        <w:t xml:space="preserve">Another area where there </w:t>
      </w:r>
      <w:r w:rsidR="008C234E">
        <w:rPr>
          <w:lang w:val="en-US"/>
        </w:rPr>
        <w:t xml:space="preserve">was </w:t>
      </w:r>
      <w:r>
        <w:rPr>
          <w:lang w:val="en-US"/>
        </w:rPr>
        <w:t>room for improvement</w:t>
      </w:r>
      <w:r w:rsidR="008C234E">
        <w:rPr>
          <w:lang w:val="en-US"/>
        </w:rPr>
        <w:t xml:space="preserve"> was with regards to engagement with CSOs to support broader demand creation. While there were some </w:t>
      </w:r>
      <w:r>
        <w:rPr>
          <w:lang w:val="en-US"/>
        </w:rPr>
        <w:t xml:space="preserve">good examples (e.g. the working with CAGs in countries), </w:t>
      </w:r>
      <w:r w:rsidR="008C234E">
        <w:rPr>
          <w:lang w:val="en-US"/>
        </w:rPr>
        <w:t>this was not uniformly well done across project countries</w:t>
      </w:r>
      <w:r>
        <w:rPr>
          <w:lang w:val="en-US"/>
        </w:rPr>
        <w:t>.</w:t>
      </w:r>
    </w:p>
    <w:p w14:paraId="72DB0973" w14:textId="06C4EBA1" w:rsidR="00F844B4" w:rsidRDefault="00F844B4" w:rsidP="00017EA8">
      <w:pPr>
        <w:pStyle w:val="CEPAReportText"/>
        <w:rPr>
          <w:lang w:val="en-US"/>
        </w:rPr>
      </w:pPr>
      <w:r>
        <w:rPr>
          <w:lang w:val="en-US"/>
        </w:rPr>
        <w:t xml:space="preserve">While recognising that Unitaid has updated its project design and management approach, especially under the new </w:t>
      </w:r>
      <w:r w:rsidR="00FE0863">
        <w:rPr>
          <w:lang w:val="en-US"/>
        </w:rPr>
        <w:t>s</w:t>
      </w:r>
      <w:r>
        <w:rPr>
          <w:lang w:val="en-US"/>
        </w:rPr>
        <w:t>trategy, lessons from the experience of the implementation of the MSF project suggest the need for: (i) more realistic timeframes for projects, recognising the complex and uncertain environment that Unitaid projects operate in; (ii) project design to be carefully supported by scenario assessment, aided with a clear and continually updated risk assessment; (iii) a critical consideration of what really defines the measures of success for a project and developing suitable M&amp;E indicators</w:t>
      </w:r>
      <w:r w:rsidR="00DF7302">
        <w:rPr>
          <w:lang w:val="en-US"/>
        </w:rPr>
        <w:t>, with an emphasis on project site data collection especially given the weak data that exists</w:t>
      </w:r>
      <w:r>
        <w:rPr>
          <w:lang w:val="en-US"/>
        </w:rPr>
        <w:t xml:space="preserve">; (iv) greater emphasis on coordination with other partners, through for example, </w:t>
      </w:r>
      <w:r w:rsidR="005A30F9">
        <w:rPr>
          <w:lang w:val="en-US"/>
        </w:rPr>
        <w:t>measurable</w:t>
      </w:r>
      <w:r>
        <w:rPr>
          <w:lang w:val="en-US"/>
        </w:rPr>
        <w:t xml:space="preserve"> indicators to ensure this is done; and (v) close monitoring of </w:t>
      </w:r>
      <w:r w:rsidR="00444F01">
        <w:rPr>
          <w:lang w:val="en-US"/>
        </w:rPr>
        <w:t>impact</w:t>
      </w:r>
      <w:r>
        <w:rPr>
          <w:lang w:val="en-US"/>
        </w:rPr>
        <w:t xml:space="preserve"> metrics to ensure continued efficiency in terms of increased benefits for increased costs.</w:t>
      </w:r>
    </w:p>
    <w:p w14:paraId="142E86A3" w14:textId="61953DE7" w:rsidR="00C80E0E" w:rsidRDefault="00F844B4" w:rsidP="00125677">
      <w:pPr>
        <w:pStyle w:val="CEPAReportText"/>
      </w:pPr>
      <w:r>
        <w:rPr>
          <w:lang w:val="en-US"/>
        </w:rPr>
        <w:t xml:space="preserve">Finally, as an end note, we highlight that the </w:t>
      </w:r>
      <w:r w:rsidR="00056874">
        <w:rPr>
          <w:lang w:val="en-US"/>
        </w:rPr>
        <w:t xml:space="preserve">landscape for VL testing remains challenging. Not only do VL testing coverage rates remain very low, there is also much to be improved in terms of test </w:t>
      </w:r>
      <w:r w:rsidR="00ED4939">
        <w:rPr>
          <w:lang w:val="en-US"/>
        </w:rPr>
        <w:t>TATs</w:t>
      </w:r>
      <w:r w:rsidR="00056874">
        <w:rPr>
          <w:lang w:val="en-US"/>
        </w:rPr>
        <w:t xml:space="preserve"> and treatment regimen switching rates. Challenges </w:t>
      </w:r>
      <w:r>
        <w:rPr>
          <w:lang w:val="en-US"/>
        </w:rPr>
        <w:t xml:space="preserve">persist </w:t>
      </w:r>
      <w:r w:rsidR="00056874">
        <w:rPr>
          <w:lang w:val="en-US"/>
        </w:rPr>
        <w:t xml:space="preserve">with available technologies in terms of high prices, ineffective maintenance and the issue of waste management. As such, the path to scale-up requires further work, although noting that the MSF contribution through this project has </w:t>
      </w:r>
      <w:r>
        <w:rPr>
          <w:lang w:val="en-US"/>
        </w:rPr>
        <w:t>made a positive contribution to setting</w:t>
      </w:r>
      <w:r w:rsidR="00056874">
        <w:rPr>
          <w:lang w:val="en-US"/>
        </w:rPr>
        <w:t xml:space="preserve"> the stage for scale-up. </w:t>
      </w:r>
      <w:bookmarkStart w:id="475" w:name="_Toc482000712"/>
      <w:bookmarkStart w:id="476" w:name="_Toc482000758"/>
      <w:bookmarkStart w:id="477" w:name="_Toc482027166"/>
      <w:bookmarkStart w:id="478" w:name="_Toc482090638"/>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71"/>
      <w:bookmarkEnd w:id="475"/>
      <w:bookmarkEnd w:id="476"/>
      <w:bookmarkEnd w:id="477"/>
      <w:bookmarkEnd w:id="478"/>
    </w:p>
    <w:p w14:paraId="75BE8076" w14:textId="77777777" w:rsidR="000A1645" w:rsidRPr="00B943ED" w:rsidRDefault="000A1645" w:rsidP="00125677">
      <w:pPr>
        <w:pStyle w:val="CEPAReportText"/>
        <w:sectPr w:rsidR="000A1645" w:rsidRPr="00B943ED" w:rsidSect="00280C9A">
          <w:footerReference w:type="default" r:id="rId22"/>
          <w:pgSz w:w="11906" w:h="16838"/>
          <w:pgMar w:top="1440" w:right="1440" w:bottom="1440" w:left="1440" w:header="709" w:footer="709" w:gutter="0"/>
          <w:pgNumType w:start="1"/>
          <w:cols w:space="708"/>
          <w:docGrid w:linePitch="360"/>
        </w:sectPr>
      </w:pPr>
    </w:p>
    <w:p w14:paraId="3D3C18B8" w14:textId="77777777" w:rsidR="00D97E3B" w:rsidRPr="00804124" w:rsidRDefault="00D97E3B" w:rsidP="00D97E3B">
      <w:pPr>
        <w:pStyle w:val="Heading7"/>
        <w:numPr>
          <w:ilvl w:val="0"/>
          <w:numId w:val="3"/>
        </w:numPr>
      </w:pPr>
      <w:bookmarkStart w:id="479" w:name="_Toc480382274"/>
      <w:bookmarkStart w:id="480" w:name="_Toc480382898"/>
      <w:bookmarkStart w:id="481" w:name="_Toc480382900"/>
      <w:bookmarkStart w:id="482" w:name="_Toc480400066"/>
      <w:bookmarkStart w:id="483" w:name="_Toc480400178"/>
      <w:bookmarkStart w:id="484" w:name="_Toc480400273"/>
      <w:bookmarkStart w:id="485" w:name="_Toc480400303"/>
      <w:bookmarkStart w:id="486" w:name="_Toc480400330"/>
      <w:bookmarkStart w:id="487" w:name="_Toc480401056"/>
      <w:bookmarkStart w:id="488" w:name="_Toc480401083"/>
      <w:bookmarkStart w:id="489" w:name="_Toc480401110"/>
      <w:bookmarkStart w:id="490" w:name="_Toc480402325"/>
      <w:bookmarkStart w:id="491" w:name="_Toc480445321"/>
      <w:bookmarkStart w:id="492" w:name="_Toc480445322"/>
      <w:bookmarkStart w:id="493" w:name="_Toc480448410"/>
      <w:bookmarkStart w:id="494" w:name="_Toc480450197"/>
      <w:bookmarkStart w:id="495" w:name="_Toc480455814"/>
      <w:bookmarkStart w:id="496" w:name="_Toc480456202"/>
      <w:bookmarkStart w:id="497" w:name="_Toc480460062"/>
      <w:bookmarkStart w:id="498" w:name="_Toc480460553"/>
      <w:bookmarkStart w:id="499" w:name="_Toc480460624"/>
      <w:bookmarkStart w:id="500" w:name="_Toc480460089"/>
      <w:bookmarkStart w:id="501" w:name="_Toc480460498"/>
      <w:bookmarkStart w:id="502" w:name="_Toc480460527"/>
      <w:bookmarkStart w:id="503" w:name="_Toc480460646"/>
      <w:bookmarkStart w:id="504" w:name="_Toc480460673"/>
      <w:bookmarkStart w:id="505" w:name="_Toc480460950"/>
      <w:bookmarkStart w:id="506" w:name="_Toc480460700"/>
      <w:bookmarkStart w:id="507" w:name="_Toc480461005"/>
      <w:bookmarkStart w:id="508" w:name="_Toc480461051"/>
      <w:bookmarkStart w:id="509" w:name="_Toc480461079"/>
      <w:bookmarkStart w:id="510" w:name="_Toc480461416"/>
      <w:bookmarkStart w:id="511" w:name="_Toc480462492"/>
      <w:bookmarkStart w:id="512" w:name="_Toc480460763"/>
      <w:bookmarkStart w:id="513" w:name="_Toc480462953"/>
      <w:bookmarkStart w:id="514" w:name="_Toc480463108"/>
      <w:bookmarkStart w:id="515" w:name="_Toc480465041"/>
      <w:bookmarkStart w:id="516" w:name="_Toc480465527"/>
      <w:bookmarkStart w:id="517" w:name="_Toc480466096"/>
      <w:bookmarkStart w:id="518" w:name="_Toc480466286"/>
      <w:bookmarkStart w:id="519" w:name="_Toc480467036"/>
      <w:bookmarkStart w:id="520" w:name="_Toc480467814"/>
      <w:bookmarkStart w:id="521" w:name="_Toc480467854"/>
      <w:bookmarkStart w:id="522" w:name="_Toc480361223"/>
      <w:bookmarkStart w:id="523" w:name="_Toc480373687"/>
      <w:bookmarkStart w:id="524" w:name="_Toc480373753"/>
      <w:bookmarkStart w:id="525" w:name="_Toc480376358"/>
      <w:bookmarkStart w:id="526" w:name="_Toc480376386"/>
      <w:bookmarkStart w:id="527" w:name="_Toc480376557"/>
      <w:bookmarkStart w:id="528" w:name="_Toc480376585"/>
      <w:bookmarkStart w:id="529" w:name="_Toc480377592"/>
      <w:bookmarkStart w:id="530" w:name="_Toc480377620"/>
      <w:bookmarkStart w:id="531" w:name="_Toc480377714"/>
      <w:bookmarkStart w:id="532" w:name="_Toc480377742"/>
      <w:bookmarkStart w:id="533" w:name="_Toc480377770"/>
      <w:bookmarkStart w:id="534" w:name="_Toc480377808"/>
      <w:bookmarkStart w:id="535" w:name="_Toc480379035"/>
      <w:bookmarkStart w:id="536" w:name="_Toc480380046"/>
      <w:bookmarkStart w:id="537" w:name="_Toc480380078"/>
      <w:bookmarkStart w:id="538" w:name="_Toc480378308"/>
      <w:bookmarkStart w:id="539" w:name="_Toc480380324"/>
      <w:bookmarkStart w:id="540" w:name="_Toc480380352"/>
      <w:bookmarkStart w:id="541" w:name="_Toc480380800"/>
      <w:bookmarkStart w:id="542" w:name="_Toc480380872"/>
      <w:bookmarkStart w:id="543" w:name="_Toc480381299"/>
      <w:bookmarkStart w:id="544" w:name="_Toc480381628"/>
      <w:bookmarkStart w:id="545" w:name="_Toc480381918"/>
      <w:bookmarkStart w:id="546" w:name="_Toc480382203"/>
      <w:bookmarkStart w:id="547" w:name="_Toc480382277"/>
      <w:bookmarkStart w:id="548" w:name="_Toc480382902"/>
      <w:bookmarkStart w:id="549" w:name="_Toc480382978"/>
      <w:bookmarkStart w:id="550" w:name="_Toc480383005"/>
      <w:bookmarkStart w:id="551" w:name="_Toc480400068"/>
      <w:bookmarkStart w:id="552" w:name="_Toc480400180"/>
      <w:bookmarkStart w:id="553" w:name="_Toc480400275"/>
      <w:bookmarkStart w:id="554" w:name="_Toc480400305"/>
      <w:bookmarkStart w:id="555" w:name="_Toc480400332"/>
      <w:bookmarkStart w:id="556" w:name="_Toc480401058"/>
      <w:bookmarkStart w:id="557" w:name="_Toc480401085"/>
      <w:bookmarkStart w:id="558" w:name="_Toc480401112"/>
      <w:bookmarkStart w:id="559" w:name="_Toc480402327"/>
      <w:bookmarkStart w:id="560" w:name="_Toc480445324"/>
      <w:bookmarkStart w:id="561" w:name="_Toc480448412"/>
      <w:bookmarkStart w:id="562" w:name="_Toc480450199"/>
      <w:bookmarkStart w:id="563" w:name="_Toc480455816"/>
      <w:bookmarkStart w:id="564" w:name="_Toc480456204"/>
      <w:bookmarkStart w:id="565" w:name="_Toc480460064"/>
      <w:bookmarkStart w:id="566" w:name="_Toc480460555"/>
      <w:bookmarkStart w:id="567" w:name="_Toc480460091"/>
      <w:bookmarkStart w:id="568" w:name="_Toc480460500"/>
      <w:bookmarkStart w:id="569" w:name="_Toc480460529"/>
      <w:bookmarkStart w:id="570" w:name="_Toc480460648"/>
      <w:bookmarkStart w:id="571" w:name="_Toc480460675"/>
      <w:bookmarkStart w:id="572" w:name="_Toc480460952"/>
      <w:bookmarkStart w:id="573" w:name="_Toc480460702"/>
      <w:bookmarkStart w:id="574" w:name="_Toc480461007"/>
      <w:bookmarkStart w:id="575" w:name="_Toc480461053"/>
      <w:bookmarkStart w:id="576" w:name="_Toc480461081"/>
      <w:bookmarkStart w:id="577" w:name="_Toc480461418"/>
      <w:bookmarkStart w:id="578" w:name="_Toc480462494"/>
      <w:bookmarkStart w:id="579" w:name="_Toc480462714"/>
      <w:bookmarkStart w:id="580" w:name="_Toc480460765"/>
      <w:bookmarkStart w:id="581" w:name="_Toc480462955"/>
      <w:bookmarkStart w:id="582" w:name="_Toc480463110"/>
      <w:bookmarkStart w:id="583" w:name="_Toc480464930"/>
      <w:bookmarkStart w:id="584" w:name="_Toc480465043"/>
      <w:bookmarkStart w:id="585" w:name="_Toc480465503"/>
      <w:bookmarkStart w:id="586" w:name="_Toc480465529"/>
      <w:bookmarkStart w:id="587" w:name="_Toc480465557"/>
      <w:bookmarkStart w:id="588" w:name="_Toc480466098"/>
      <w:bookmarkStart w:id="589" w:name="_Toc480466288"/>
      <w:bookmarkStart w:id="590" w:name="_Toc480466407"/>
      <w:bookmarkStart w:id="591" w:name="_Toc480467038"/>
      <w:bookmarkStart w:id="592" w:name="_Toc480467194"/>
      <w:bookmarkStart w:id="593" w:name="_Toc480467816"/>
      <w:bookmarkStart w:id="594" w:name="_Toc480467856"/>
      <w:bookmarkStart w:id="595" w:name="_Toc480382927"/>
      <w:bookmarkStart w:id="596" w:name="_Toc480382976"/>
      <w:bookmarkStart w:id="597" w:name="_Toc480401082"/>
      <w:bookmarkStart w:id="598" w:name="_Toc480448409"/>
      <w:bookmarkStart w:id="599" w:name="_Toc480475263"/>
      <w:bookmarkStart w:id="600" w:name="_Toc480476419"/>
      <w:bookmarkStart w:id="601" w:name="_Toc480546095"/>
      <w:bookmarkStart w:id="602" w:name="_Toc480549682"/>
      <w:bookmarkStart w:id="603" w:name="_Toc480553076"/>
      <w:bookmarkStart w:id="604" w:name="_Toc497836039"/>
      <w:bookmarkStart w:id="605" w:name="_Toc498093560"/>
      <w:bookmarkStart w:id="606" w:name="_Toc498094656"/>
      <w:bookmarkStart w:id="607" w:name="_Toc499825752"/>
      <w:bookmarkStart w:id="608" w:name="_Toc499827496"/>
      <w:bookmarkStart w:id="609" w:name="_Toc500074990"/>
      <w:bookmarkStart w:id="610" w:name="_Toc500077856"/>
      <w:bookmarkStart w:id="611" w:name="_Toc500179390"/>
      <w:bookmarkStart w:id="612" w:name="_Toc500182469"/>
      <w:bookmarkStart w:id="613" w:name="_Toc500445657"/>
      <w:bookmarkStart w:id="614" w:name="_Toc500503137"/>
      <w:bookmarkStart w:id="615" w:name="_Toc500508118"/>
      <w:bookmarkStart w:id="616" w:name="_Toc500512846"/>
      <w:bookmarkStart w:id="617" w:name="_Toc500517772"/>
      <w:bookmarkStart w:id="618" w:name="_Toc500519587"/>
      <w:bookmarkStart w:id="619" w:name="_Toc500524434"/>
      <w:bookmarkStart w:id="620" w:name="_Toc506417406"/>
      <w:bookmarkStart w:id="621" w:name="_Toc515359230"/>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B943ED">
        <w:t>List of references</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458D2236" w14:textId="77777777" w:rsidR="00D97E3B" w:rsidRPr="00BC4D70" w:rsidRDefault="00D97E3B" w:rsidP="001D093F">
      <w:pPr>
        <w:pStyle w:val="CEPATabletext"/>
        <w:rPr>
          <w:rFonts w:asciiTheme="minorHAnsi" w:hAnsiTheme="minorHAnsi" w:cstheme="minorHAnsi"/>
          <w:b/>
          <w:sz w:val="20"/>
          <w:szCs w:val="20"/>
        </w:rPr>
      </w:pPr>
      <w:bookmarkStart w:id="622" w:name="_Toc407023802"/>
      <w:bookmarkStart w:id="623" w:name="_Toc407114912"/>
      <w:r w:rsidRPr="00BC4D70">
        <w:rPr>
          <w:rFonts w:asciiTheme="minorHAnsi" w:hAnsiTheme="minorHAnsi" w:cstheme="minorHAnsi"/>
          <w:b/>
          <w:sz w:val="20"/>
          <w:szCs w:val="20"/>
        </w:rPr>
        <w:t>Project Plan</w:t>
      </w:r>
    </w:p>
    <w:p w14:paraId="52664383"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(2012) Project Plan: Implementation of CD4 and Viral Load Testing in Decentralized, Remote and Resource‐limited Settings in MSF HIV Programmes</w:t>
      </w:r>
    </w:p>
    <w:p w14:paraId="3838E6E3" w14:textId="40B8685D"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MSF &amp; </w:t>
      </w:r>
      <w:r w:rsidR="00B55E9C">
        <w:rPr>
          <w:rFonts w:asciiTheme="minorHAnsi" w:hAnsiTheme="minorHAnsi" w:cstheme="minorHAnsi"/>
          <w:sz w:val="20"/>
          <w:szCs w:val="20"/>
        </w:rPr>
        <w:t>Unitaid</w:t>
      </w:r>
      <w:r w:rsidRPr="00BC4D70">
        <w:rPr>
          <w:rFonts w:asciiTheme="minorHAnsi" w:hAnsiTheme="minorHAnsi" w:cstheme="minorHAnsi"/>
          <w:sz w:val="20"/>
          <w:szCs w:val="20"/>
        </w:rPr>
        <w:t xml:space="preserve"> (2012) Purchasing &amp; Procurement Approach, Version 4, 20/08/2012</w:t>
      </w:r>
    </w:p>
    <w:p w14:paraId="79FE5453" w14:textId="7D5860FF"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MSF &amp; </w:t>
      </w:r>
      <w:r w:rsidR="00B55E9C">
        <w:rPr>
          <w:rFonts w:asciiTheme="minorHAnsi" w:hAnsiTheme="minorHAnsi" w:cstheme="minorHAnsi"/>
          <w:sz w:val="20"/>
          <w:szCs w:val="20"/>
        </w:rPr>
        <w:t>Unitaid</w:t>
      </w:r>
      <w:r w:rsidRPr="00BC4D70">
        <w:rPr>
          <w:rFonts w:asciiTheme="minorHAnsi" w:hAnsiTheme="minorHAnsi" w:cstheme="minorHAnsi"/>
          <w:sz w:val="20"/>
          <w:szCs w:val="20"/>
        </w:rPr>
        <w:t xml:space="preserve"> (2012) Purchasing &amp; Procurement Approach, Version 10, 19/11/2012</w:t>
      </w:r>
    </w:p>
    <w:p w14:paraId="2CF5E765" w14:textId="77777777" w:rsidR="00D97E3B" w:rsidRPr="00BC4D70" w:rsidRDefault="00D97E3B" w:rsidP="001D093F">
      <w:pPr>
        <w:pStyle w:val="CEPATabletext"/>
        <w:rPr>
          <w:rFonts w:asciiTheme="minorHAnsi" w:hAnsiTheme="minorHAnsi" w:cstheme="minorHAnsi"/>
          <w:b/>
          <w:sz w:val="20"/>
          <w:szCs w:val="20"/>
        </w:rPr>
      </w:pPr>
      <w:r w:rsidRPr="00BC4D70">
        <w:rPr>
          <w:rFonts w:asciiTheme="minorHAnsi" w:hAnsiTheme="minorHAnsi" w:cstheme="minorHAnsi"/>
          <w:b/>
          <w:sz w:val="20"/>
          <w:szCs w:val="20"/>
        </w:rPr>
        <w:t>Project Amendments</w:t>
      </w:r>
    </w:p>
    <w:p w14:paraId="70BACF40" w14:textId="615C78D9" w:rsidR="00D97E3B" w:rsidRPr="00BC4D70" w:rsidRDefault="00B55E9C" w:rsidP="001D093F">
      <w:pPr>
        <w:pStyle w:val="CEPATabletext"/>
        <w:rPr>
          <w:rFonts w:asciiTheme="minorHAnsi" w:hAnsiTheme="minorHAnsi" w:cstheme="minorHAnsi"/>
          <w:sz w:val="20"/>
          <w:szCs w:val="20"/>
        </w:rPr>
      </w:pPr>
      <w:r>
        <w:rPr>
          <w:rFonts w:asciiTheme="minorHAnsi" w:hAnsiTheme="minorHAnsi" w:cstheme="minorHAnsi"/>
          <w:sz w:val="20"/>
          <w:szCs w:val="20"/>
        </w:rPr>
        <w:t>Unitaid</w:t>
      </w:r>
      <w:r w:rsidR="00D97E3B" w:rsidRPr="00BC4D70">
        <w:rPr>
          <w:rFonts w:asciiTheme="minorHAnsi" w:hAnsiTheme="minorHAnsi" w:cstheme="minorHAnsi"/>
          <w:sz w:val="20"/>
          <w:szCs w:val="20"/>
        </w:rPr>
        <w:t xml:space="preserve"> (2014) Approved Memorandum: MSF no-cost extension </w:t>
      </w:r>
    </w:p>
    <w:p w14:paraId="49ADC7FB" w14:textId="78DB6735"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(2015) Memorandum: Request for a partial no-cost extension of the MSF-</w:t>
      </w:r>
      <w:r w:rsidR="00B55E9C">
        <w:rPr>
          <w:rFonts w:asciiTheme="minorHAnsi" w:hAnsiTheme="minorHAnsi" w:cstheme="minorHAnsi"/>
          <w:sz w:val="20"/>
          <w:szCs w:val="20"/>
        </w:rPr>
        <w:t>Unitaid</w:t>
      </w:r>
      <w:r w:rsidRPr="00BC4D70">
        <w:rPr>
          <w:rFonts w:asciiTheme="minorHAnsi" w:hAnsiTheme="minorHAnsi" w:cstheme="minorHAnsi"/>
          <w:sz w:val="20"/>
          <w:szCs w:val="20"/>
        </w:rPr>
        <w:t xml:space="preserve"> viral load grant activities due to unforeseen delays in implementation and available of POC devices</w:t>
      </w:r>
    </w:p>
    <w:p w14:paraId="2ADDBA3B" w14:textId="45C62690" w:rsidR="00D97E3B" w:rsidRPr="00BC4D70" w:rsidRDefault="00B55E9C" w:rsidP="001D093F">
      <w:pPr>
        <w:pStyle w:val="CEPATabletext"/>
        <w:rPr>
          <w:rFonts w:asciiTheme="minorHAnsi" w:hAnsiTheme="minorHAnsi" w:cstheme="minorHAnsi"/>
          <w:sz w:val="20"/>
          <w:szCs w:val="20"/>
        </w:rPr>
      </w:pPr>
      <w:r>
        <w:rPr>
          <w:rFonts w:asciiTheme="minorHAnsi" w:hAnsiTheme="minorHAnsi" w:cstheme="minorHAnsi"/>
          <w:sz w:val="20"/>
          <w:szCs w:val="20"/>
        </w:rPr>
        <w:t>Unitaid</w:t>
      </w:r>
      <w:r w:rsidR="00D97E3B" w:rsidRPr="00BC4D70">
        <w:rPr>
          <w:rFonts w:asciiTheme="minorHAnsi" w:hAnsiTheme="minorHAnsi" w:cstheme="minorHAnsi"/>
          <w:sz w:val="20"/>
          <w:szCs w:val="20"/>
        </w:rPr>
        <w:t xml:space="preserve"> (2016) First No-Cost Extension: Letter of Agreement and Annexes</w:t>
      </w:r>
    </w:p>
    <w:p w14:paraId="173E3F4E" w14:textId="01538148" w:rsidR="00D97E3B" w:rsidRPr="00BC4D70" w:rsidRDefault="00B55E9C" w:rsidP="001D093F">
      <w:pPr>
        <w:pStyle w:val="CEPATabletext"/>
        <w:rPr>
          <w:rFonts w:asciiTheme="minorHAnsi" w:hAnsiTheme="minorHAnsi" w:cstheme="minorHAnsi"/>
          <w:sz w:val="20"/>
          <w:szCs w:val="20"/>
        </w:rPr>
      </w:pPr>
      <w:r>
        <w:rPr>
          <w:rFonts w:asciiTheme="minorHAnsi" w:hAnsiTheme="minorHAnsi" w:cstheme="minorHAnsi"/>
          <w:sz w:val="20"/>
          <w:szCs w:val="20"/>
        </w:rPr>
        <w:t>Unitaid</w:t>
      </w:r>
      <w:r w:rsidR="00D97E3B" w:rsidRPr="00BC4D70">
        <w:rPr>
          <w:rFonts w:asciiTheme="minorHAnsi" w:hAnsiTheme="minorHAnsi" w:cstheme="minorHAnsi"/>
          <w:sz w:val="20"/>
          <w:szCs w:val="20"/>
        </w:rPr>
        <w:t xml:space="preserve"> (2017) Second No-Cost Extension: Letter of Agreement and Annexes</w:t>
      </w:r>
    </w:p>
    <w:p w14:paraId="4A0F4CF5" w14:textId="77777777" w:rsidR="00D97E3B" w:rsidRPr="00BC4D70" w:rsidRDefault="00D97E3B" w:rsidP="001D093F">
      <w:pPr>
        <w:pStyle w:val="CEPATabletext"/>
        <w:rPr>
          <w:rFonts w:asciiTheme="minorHAnsi" w:hAnsiTheme="minorHAnsi" w:cstheme="minorHAnsi"/>
          <w:b/>
          <w:sz w:val="20"/>
          <w:szCs w:val="20"/>
        </w:rPr>
      </w:pPr>
      <w:r w:rsidRPr="00BC4D70">
        <w:rPr>
          <w:rFonts w:asciiTheme="minorHAnsi" w:hAnsiTheme="minorHAnsi" w:cstheme="minorHAnsi"/>
          <w:b/>
          <w:sz w:val="20"/>
          <w:szCs w:val="20"/>
        </w:rPr>
        <w:t>Logframes</w:t>
      </w:r>
    </w:p>
    <w:p w14:paraId="480820A1"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(2012) Original Logframe, December 2012</w:t>
      </w:r>
    </w:p>
    <w:p w14:paraId="7AD8A138"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(2013) Final Reporting Targets, February 2013</w:t>
      </w:r>
    </w:p>
    <w:p w14:paraId="63ADCE4A"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(2015) Final Reporting Targets, August 2015</w:t>
      </w:r>
    </w:p>
    <w:p w14:paraId="1DCFCAEC"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(2017) 2016 Annual Logframe, May 2017</w:t>
      </w:r>
    </w:p>
    <w:p w14:paraId="47A871A3" w14:textId="77777777" w:rsidR="00D97E3B" w:rsidRPr="00BC4D70" w:rsidRDefault="00D97E3B" w:rsidP="001D093F">
      <w:pPr>
        <w:pStyle w:val="CEPATabletext"/>
        <w:rPr>
          <w:rFonts w:asciiTheme="minorHAnsi" w:hAnsiTheme="minorHAnsi" w:cstheme="minorHAnsi"/>
          <w:b/>
          <w:sz w:val="20"/>
          <w:szCs w:val="20"/>
        </w:rPr>
      </w:pPr>
      <w:r w:rsidRPr="00BC4D70">
        <w:rPr>
          <w:rFonts w:asciiTheme="minorHAnsi" w:hAnsiTheme="minorHAnsi" w:cstheme="minorHAnsi"/>
          <w:b/>
          <w:sz w:val="20"/>
          <w:szCs w:val="20"/>
        </w:rPr>
        <w:t>Progress Reports</w:t>
      </w:r>
    </w:p>
    <w:p w14:paraId="241C5302"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(2013) Annual Report</w:t>
      </w:r>
    </w:p>
    <w:p w14:paraId="6DA93091"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(2014) Annual Report</w:t>
      </w:r>
    </w:p>
    <w:p w14:paraId="0EB91766"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(2015) Annual Report</w:t>
      </w:r>
    </w:p>
    <w:p w14:paraId="6DC36D1B"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(2016) Annual Report</w:t>
      </w:r>
    </w:p>
    <w:p w14:paraId="7D3DA8D4"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(2017) End of Project Report</w:t>
      </w:r>
    </w:p>
    <w:p w14:paraId="4182CF51" w14:textId="77777777" w:rsidR="00D97E3B" w:rsidRPr="00BC4D70" w:rsidRDefault="00D97E3B" w:rsidP="001D093F">
      <w:pPr>
        <w:pStyle w:val="CEPATabletext"/>
        <w:rPr>
          <w:rFonts w:asciiTheme="minorHAnsi" w:hAnsiTheme="minorHAnsi" w:cstheme="minorHAnsi"/>
          <w:b/>
          <w:sz w:val="20"/>
          <w:szCs w:val="20"/>
        </w:rPr>
      </w:pPr>
      <w:r w:rsidRPr="00BC4D70">
        <w:rPr>
          <w:rFonts w:asciiTheme="minorHAnsi" w:hAnsiTheme="minorHAnsi" w:cstheme="minorHAnsi"/>
          <w:b/>
          <w:sz w:val="20"/>
          <w:szCs w:val="20"/>
        </w:rPr>
        <w:t>Financial Reports</w:t>
      </w:r>
    </w:p>
    <w:p w14:paraId="52582B78"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(2013) Budget Revision 08/07/2013</w:t>
      </w:r>
    </w:p>
    <w:p w14:paraId="1B887AA8"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(2013) Budget Variations to the Initial 2013 Budget</w:t>
      </w:r>
    </w:p>
    <w:p w14:paraId="5DD62D43"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(2013) Annual Financial Report</w:t>
      </w:r>
    </w:p>
    <w:p w14:paraId="7C933FF3"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(2014) Annual Financial Report</w:t>
      </w:r>
    </w:p>
    <w:p w14:paraId="38093A99"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(2015) MSF Consolidated Budget 2016</w:t>
      </w:r>
    </w:p>
    <w:p w14:paraId="5519DA05"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MSF (2015) Approved Budget </w:t>
      </w:r>
    </w:p>
    <w:p w14:paraId="5BCDD4DF"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(2016) Annual Financial Report</w:t>
      </w:r>
    </w:p>
    <w:p w14:paraId="026C4DCD"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(2016) Annual Financial Report</w:t>
      </w:r>
    </w:p>
    <w:p w14:paraId="0FF15C56"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(2017) End of Project Financial Report</w:t>
      </w:r>
    </w:p>
    <w:p w14:paraId="396FFED3" w14:textId="5E81B09A" w:rsidR="00D97E3B" w:rsidRPr="00BC4D70" w:rsidRDefault="00B55E9C" w:rsidP="001D093F">
      <w:pPr>
        <w:pStyle w:val="CEPATabletext"/>
        <w:rPr>
          <w:rFonts w:asciiTheme="minorHAnsi" w:hAnsiTheme="minorHAnsi" w:cstheme="minorHAnsi"/>
          <w:sz w:val="20"/>
          <w:szCs w:val="20"/>
        </w:rPr>
      </w:pPr>
      <w:r>
        <w:rPr>
          <w:rFonts w:asciiTheme="minorHAnsi" w:hAnsiTheme="minorHAnsi" w:cstheme="minorHAnsi"/>
          <w:sz w:val="20"/>
          <w:szCs w:val="20"/>
        </w:rPr>
        <w:t>Unitaid</w:t>
      </w:r>
      <w:r w:rsidR="00D97E3B" w:rsidRPr="00BC4D70">
        <w:rPr>
          <w:rFonts w:asciiTheme="minorHAnsi" w:hAnsiTheme="minorHAnsi" w:cstheme="minorHAnsi"/>
          <w:sz w:val="20"/>
          <w:szCs w:val="20"/>
        </w:rPr>
        <w:t xml:space="preserve"> (2017) Budget Revision Overview</w:t>
      </w:r>
    </w:p>
    <w:p w14:paraId="188FBC3F" w14:textId="77777777" w:rsidR="00D97E3B" w:rsidRPr="00BC4D70" w:rsidRDefault="00D97E3B" w:rsidP="001D093F">
      <w:pPr>
        <w:pStyle w:val="CEPATabletext"/>
        <w:rPr>
          <w:rFonts w:asciiTheme="minorHAnsi" w:hAnsiTheme="minorHAnsi" w:cstheme="minorHAnsi"/>
          <w:b/>
          <w:sz w:val="20"/>
          <w:szCs w:val="20"/>
        </w:rPr>
      </w:pPr>
      <w:r w:rsidRPr="00BC4D70">
        <w:rPr>
          <w:rFonts w:asciiTheme="minorHAnsi" w:hAnsiTheme="minorHAnsi" w:cstheme="minorHAnsi"/>
          <w:b/>
          <w:sz w:val="20"/>
          <w:szCs w:val="20"/>
        </w:rPr>
        <w:t>Procurement Reports</w:t>
      </w:r>
    </w:p>
    <w:p w14:paraId="5D357D53"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(2013) Annual Procurement Report</w:t>
      </w:r>
    </w:p>
    <w:p w14:paraId="6815BB15"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(2014) Annual Procurement Report</w:t>
      </w:r>
    </w:p>
    <w:p w14:paraId="24B6FDFB"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(2015) Annual Procurement Report</w:t>
      </w:r>
    </w:p>
    <w:p w14:paraId="1B3A487F"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(2016) Annual Procurement Report</w:t>
      </w:r>
    </w:p>
    <w:p w14:paraId="25FC0076"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(2017) End of Project Procurement Report</w:t>
      </w:r>
    </w:p>
    <w:p w14:paraId="43387325" w14:textId="67A63618" w:rsidR="00873066" w:rsidRPr="00BC4D70" w:rsidRDefault="00873066" w:rsidP="001D093F">
      <w:pPr>
        <w:pStyle w:val="CEPATabletext"/>
        <w:rPr>
          <w:rFonts w:asciiTheme="minorHAnsi" w:hAnsiTheme="minorHAnsi" w:cstheme="minorHAnsi"/>
          <w:b/>
          <w:sz w:val="20"/>
          <w:szCs w:val="20"/>
        </w:rPr>
      </w:pPr>
      <w:r w:rsidRPr="00BC4D70">
        <w:rPr>
          <w:rFonts w:asciiTheme="minorHAnsi" w:hAnsiTheme="minorHAnsi" w:cstheme="minorHAnsi"/>
          <w:b/>
          <w:sz w:val="20"/>
          <w:szCs w:val="20"/>
        </w:rPr>
        <w:t xml:space="preserve">Other project documents </w:t>
      </w:r>
    </w:p>
    <w:p w14:paraId="11B97CB5" w14:textId="111D6331" w:rsidR="00873066" w:rsidRPr="00BC4D70" w:rsidRDefault="00873066"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ITPC (2015) ITPC timeline for RVL project with MSF under </w:t>
      </w:r>
      <w:r w:rsidR="00B55E9C">
        <w:rPr>
          <w:rFonts w:asciiTheme="minorHAnsi" w:hAnsiTheme="minorHAnsi" w:cstheme="minorHAnsi"/>
          <w:sz w:val="20"/>
          <w:szCs w:val="20"/>
        </w:rPr>
        <w:t>Unitaid</w:t>
      </w:r>
    </w:p>
    <w:p w14:paraId="13F1EDB2" w14:textId="77777777" w:rsidR="00873066" w:rsidRPr="00BC4D70" w:rsidRDefault="00873066"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(2016) MSF Dx Project: Risk Assessment Summary</w:t>
      </w:r>
    </w:p>
    <w:p w14:paraId="2176A3AE" w14:textId="77777777" w:rsidR="00873066" w:rsidRPr="00BC4D70" w:rsidRDefault="00873066" w:rsidP="001D093F">
      <w:pPr>
        <w:pStyle w:val="CEPATabletext"/>
        <w:rPr>
          <w:rFonts w:asciiTheme="minorHAnsi" w:hAnsiTheme="minorHAnsi" w:cstheme="minorHAnsi"/>
          <w:b/>
          <w:sz w:val="20"/>
          <w:szCs w:val="20"/>
        </w:rPr>
      </w:pPr>
      <w:r w:rsidRPr="00BC4D70">
        <w:rPr>
          <w:rFonts w:asciiTheme="minorHAnsi" w:hAnsiTheme="minorHAnsi" w:cstheme="minorHAnsi"/>
          <w:b/>
          <w:sz w:val="20"/>
          <w:szCs w:val="20"/>
        </w:rPr>
        <w:t>MSF Undetectables Campaign Documents</w:t>
      </w:r>
    </w:p>
    <w:p w14:paraId="5F72155D" w14:textId="77777777" w:rsidR="00873066" w:rsidRPr="00BC4D70" w:rsidRDefault="00873066"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(2012) Vol. 1: Undetectable: How Viral Load Monitoring Can Improve HIV Treatment in Developing Countries</w:t>
      </w:r>
    </w:p>
    <w:p w14:paraId="36AA71BE" w14:textId="77777777" w:rsidR="00873066" w:rsidRPr="00BC4D70" w:rsidRDefault="00873066"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(2013) Vol. 2: Putting HIV Treatment to the Test, 1</w:t>
      </w:r>
      <w:r w:rsidRPr="00BC4D70">
        <w:rPr>
          <w:rFonts w:asciiTheme="minorHAnsi" w:hAnsiTheme="minorHAnsi" w:cstheme="minorHAnsi"/>
          <w:sz w:val="20"/>
          <w:szCs w:val="20"/>
          <w:vertAlign w:val="superscript"/>
        </w:rPr>
        <w:t>st</w:t>
      </w:r>
      <w:r w:rsidRPr="00BC4D70">
        <w:rPr>
          <w:rFonts w:asciiTheme="minorHAnsi" w:hAnsiTheme="minorHAnsi" w:cstheme="minorHAnsi"/>
          <w:sz w:val="20"/>
          <w:szCs w:val="20"/>
        </w:rPr>
        <w:t xml:space="preserve"> Edition </w:t>
      </w:r>
    </w:p>
    <w:p w14:paraId="43DA6183" w14:textId="77777777" w:rsidR="00873066" w:rsidRPr="00BC4D70" w:rsidRDefault="00873066"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(2013) Vol. 3: How low can we go? Pricing for HIV viral load testing in low- and middle- income countries</w:t>
      </w:r>
    </w:p>
    <w:p w14:paraId="2BDBB01D" w14:textId="77777777" w:rsidR="00873066" w:rsidRPr="00BC4D70" w:rsidRDefault="00873066"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MSF (2013) Vol. 4: HIV status? Undetectable: Four essential interventions to improve HIV treatment, save lives, and reduce transmissions. </w:t>
      </w:r>
    </w:p>
    <w:p w14:paraId="260013FD" w14:textId="77777777" w:rsidR="00873066" w:rsidRPr="00BC4D70" w:rsidRDefault="00873066"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(2014) Vol. 5: Getting to Undetectable: Usage of HIV Viral Load Monitoring in Five Countries</w:t>
      </w:r>
    </w:p>
    <w:p w14:paraId="6C0BA760" w14:textId="77777777" w:rsidR="00873066" w:rsidRPr="00BC4D70" w:rsidRDefault="00873066"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MSF (2014) Vol. 6: Achieving Undetectable: What questions remain in scaling-up HIV virological treatment monitoring?  </w:t>
      </w:r>
    </w:p>
    <w:p w14:paraId="1620FF3F" w14:textId="77777777" w:rsidR="00873066" w:rsidRPr="00BC4D70" w:rsidRDefault="00873066"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(2015) Vol. 7: Putting HIV and HCV to the Test, 2</w:t>
      </w:r>
      <w:r w:rsidRPr="00BC4D70">
        <w:rPr>
          <w:rFonts w:asciiTheme="minorHAnsi" w:hAnsiTheme="minorHAnsi" w:cstheme="minorHAnsi"/>
          <w:sz w:val="20"/>
          <w:szCs w:val="20"/>
          <w:vertAlign w:val="superscript"/>
        </w:rPr>
        <w:t>nd</w:t>
      </w:r>
      <w:r w:rsidRPr="00BC4D70">
        <w:rPr>
          <w:rFonts w:asciiTheme="minorHAnsi" w:hAnsiTheme="minorHAnsi" w:cstheme="minorHAnsi"/>
          <w:sz w:val="20"/>
          <w:szCs w:val="20"/>
        </w:rPr>
        <w:t xml:space="preserve"> Edition </w:t>
      </w:r>
    </w:p>
    <w:p w14:paraId="0AECC09F" w14:textId="77777777" w:rsidR="00873066" w:rsidRPr="00BC4D70" w:rsidRDefault="00873066"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MSF (2016) Vol. 8: Making Viral Load Routine Part 1: Programmatic strategies </w:t>
      </w:r>
    </w:p>
    <w:p w14:paraId="37A65819" w14:textId="77777777" w:rsidR="00873066" w:rsidRPr="00BC4D70" w:rsidRDefault="00873066"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MSF (2016) Vol. 8: Making Viral Load Routine Part 2: The viral load laboratory </w:t>
      </w:r>
    </w:p>
    <w:p w14:paraId="0D60962C" w14:textId="77777777" w:rsidR="00873066" w:rsidRPr="00BC4D70" w:rsidRDefault="00873066"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(2017) Vol. 9: Putting HIV and HCV to the Test, 3</w:t>
      </w:r>
      <w:r w:rsidRPr="00BC4D70">
        <w:rPr>
          <w:rFonts w:asciiTheme="minorHAnsi" w:hAnsiTheme="minorHAnsi" w:cstheme="minorHAnsi"/>
          <w:sz w:val="20"/>
          <w:szCs w:val="20"/>
          <w:vertAlign w:val="superscript"/>
        </w:rPr>
        <w:t>rd</w:t>
      </w:r>
      <w:r w:rsidRPr="00BC4D70">
        <w:rPr>
          <w:rFonts w:asciiTheme="minorHAnsi" w:hAnsiTheme="minorHAnsi" w:cstheme="minorHAnsi"/>
          <w:sz w:val="20"/>
          <w:szCs w:val="20"/>
        </w:rPr>
        <w:t xml:space="preserve"> Edition</w:t>
      </w:r>
    </w:p>
    <w:p w14:paraId="6D9131EF" w14:textId="4D6DC56A" w:rsidR="00D97E3B" w:rsidRPr="00BC4D70" w:rsidRDefault="00D97E3B" w:rsidP="001D093F">
      <w:pPr>
        <w:pStyle w:val="CEPATabletext"/>
        <w:rPr>
          <w:rFonts w:asciiTheme="minorHAnsi" w:hAnsiTheme="minorHAnsi" w:cstheme="minorHAnsi"/>
          <w:b/>
          <w:sz w:val="20"/>
          <w:szCs w:val="20"/>
        </w:rPr>
      </w:pPr>
      <w:r w:rsidRPr="00BC4D70">
        <w:rPr>
          <w:rFonts w:asciiTheme="minorHAnsi" w:hAnsiTheme="minorHAnsi" w:cstheme="minorHAnsi"/>
          <w:b/>
          <w:sz w:val="20"/>
          <w:szCs w:val="20"/>
        </w:rPr>
        <w:t>Communication and Advocacy Documents</w:t>
      </w:r>
    </w:p>
    <w:p w14:paraId="76359854"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ITPC &amp; MSF (2015) Viral Load Advocacy Agreement</w:t>
      </w:r>
    </w:p>
    <w:p w14:paraId="0121CE1F"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ITPC &amp; MSF (2016) Activist Toolkit: Campaigning for Routine Viral Load Testing. Accessed on 22/10/2017 at: </w:t>
      </w:r>
      <w:hyperlink r:id="rId23" w:history="1">
        <w:r w:rsidRPr="00BC4D70">
          <w:rPr>
            <w:rStyle w:val="Hyperlink"/>
            <w:rFonts w:asciiTheme="minorHAnsi" w:hAnsiTheme="minorHAnsi" w:cstheme="minorHAnsi"/>
            <w:sz w:val="20"/>
            <w:szCs w:val="20"/>
          </w:rPr>
          <w:t>http://itpcglobal.org/new-activist-toolkit-on-routine-viral-load-monitoring/</w:t>
        </w:r>
      </w:hyperlink>
      <w:r w:rsidRPr="00BC4D70">
        <w:rPr>
          <w:rFonts w:asciiTheme="minorHAnsi" w:hAnsiTheme="minorHAnsi" w:cstheme="minorHAnsi"/>
          <w:sz w:val="20"/>
          <w:szCs w:val="20"/>
        </w:rPr>
        <w:t xml:space="preserve"> </w:t>
      </w:r>
    </w:p>
    <w:p w14:paraId="08ED3BA1"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MSF &amp; SAMU (2013) Viral Load Toolkit: An Implementer’s Guide to Introducing HIV Viral Load Monitoring. Accessed on 22/10/2017 at: https://www.msf.org.za/about-us/publications/reports/viral-load-toolkit </w:t>
      </w:r>
    </w:p>
    <w:p w14:paraId="083A88F9" w14:textId="77777777" w:rsidR="00D73133" w:rsidRPr="00BC4D70" w:rsidRDefault="00D73133" w:rsidP="00D73133">
      <w:pPr>
        <w:pStyle w:val="CEPATabletext"/>
        <w:rPr>
          <w:rFonts w:asciiTheme="minorHAnsi" w:hAnsiTheme="minorHAnsi" w:cstheme="minorHAnsi"/>
          <w:b/>
          <w:sz w:val="20"/>
          <w:szCs w:val="20"/>
        </w:rPr>
      </w:pPr>
      <w:r>
        <w:rPr>
          <w:rFonts w:asciiTheme="minorHAnsi" w:hAnsiTheme="minorHAnsi" w:cstheme="minorHAnsi"/>
          <w:b/>
          <w:sz w:val="20"/>
          <w:szCs w:val="20"/>
        </w:rPr>
        <w:t>Unitaid</w:t>
      </w:r>
      <w:r w:rsidRPr="00BC4D70">
        <w:rPr>
          <w:rFonts w:asciiTheme="minorHAnsi" w:hAnsiTheme="minorHAnsi" w:cstheme="minorHAnsi"/>
          <w:b/>
          <w:sz w:val="20"/>
          <w:szCs w:val="20"/>
        </w:rPr>
        <w:t xml:space="preserve"> Strategy</w:t>
      </w:r>
    </w:p>
    <w:p w14:paraId="48A5621E" w14:textId="77777777" w:rsidR="00D73133" w:rsidRPr="00BC4D70" w:rsidRDefault="00D73133" w:rsidP="00D73133">
      <w:pPr>
        <w:pStyle w:val="CEPATabletext"/>
        <w:rPr>
          <w:rFonts w:asciiTheme="minorHAnsi" w:hAnsiTheme="minorHAnsi" w:cstheme="minorHAnsi"/>
          <w:sz w:val="20"/>
          <w:szCs w:val="20"/>
        </w:rPr>
      </w:pPr>
      <w:r>
        <w:rPr>
          <w:rFonts w:asciiTheme="minorHAnsi" w:hAnsiTheme="minorHAnsi" w:cstheme="minorHAnsi"/>
          <w:sz w:val="20"/>
          <w:szCs w:val="20"/>
        </w:rPr>
        <w:t>Unitaid</w:t>
      </w:r>
      <w:r w:rsidRPr="00BC4D70">
        <w:rPr>
          <w:rFonts w:asciiTheme="minorHAnsi" w:hAnsiTheme="minorHAnsi" w:cstheme="minorHAnsi"/>
          <w:sz w:val="20"/>
          <w:szCs w:val="20"/>
        </w:rPr>
        <w:t xml:space="preserve"> (2013) </w:t>
      </w:r>
      <w:r>
        <w:rPr>
          <w:rFonts w:asciiTheme="minorHAnsi" w:hAnsiTheme="minorHAnsi" w:cstheme="minorHAnsi"/>
          <w:sz w:val="20"/>
          <w:szCs w:val="20"/>
        </w:rPr>
        <w:t>Unitaid</w:t>
      </w:r>
      <w:r w:rsidRPr="00BC4D70">
        <w:rPr>
          <w:rFonts w:asciiTheme="minorHAnsi" w:hAnsiTheme="minorHAnsi" w:cstheme="minorHAnsi"/>
          <w:sz w:val="20"/>
          <w:szCs w:val="20"/>
        </w:rPr>
        <w:t xml:space="preserve"> 2013-16 Strategy </w:t>
      </w:r>
    </w:p>
    <w:p w14:paraId="0BB1F271" w14:textId="77777777" w:rsidR="00D73133" w:rsidRPr="00BC4D70" w:rsidRDefault="00D73133" w:rsidP="00D73133">
      <w:pPr>
        <w:pStyle w:val="CEPATabletext"/>
        <w:rPr>
          <w:rFonts w:asciiTheme="minorHAnsi" w:hAnsiTheme="minorHAnsi" w:cstheme="minorHAnsi"/>
          <w:sz w:val="20"/>
          <w:szCs w:val="20"/>
        </w:rPr>
      </w:pPr>
      <w:r>
        <w:rPr>
          <w:rFonts w:asciiTheme="minorHAnsi" w:hAnsiTheme="minorHAnsi" w:cstheme="minorHAnsi"/>
          <w:sz w:val="20"/>
          <w:szCs w:val="20"/>
        </w:rPr>
        <w:t>Unitaid</w:t>
      </w:r>
      <w:r w:rsidRPr="00BC4D70">
        <w:rPr>
          <w:rFonts w:asciiTheme="minorHAnsi" w:hAnsiTheme="minorHAnsi" w:cstheme="minorHAnsi"/>
          <w:sz w:val="20"/>
          <w:szCs w:val="20"/>
        </w:rPr>
        <w:t xml:space="preserve"> (2016) </w:t>
      </w:r>
      <w:r>
        <w:rPr>
          <w:rFonts w:asciiTheme="minorHAnsi" w:hAnsiTheme="minorHAnsi" w:cstheme="minorHAnsi"/>
          <w:sz w:val="20"/>
          <w:szCs w:val="20"/>
        </w:rPr>
        <w:t>Unitaid</w:t>
      </w:r>
      <w:r w:rsidRPr="00BC4D70">
        <w:rPr>
          <w:rFonts w:asciiTheme="minorHAnsi" w:hAnsiTheme="minorHAnsi" w:cstheme="minorHAnsi"/>
          <w:sz w:val="20"/>
          <w:szCs w:val="20"/>
        </w:rPr>
        <w:t xml:space="preserve"> 2017-21 Strategy</w:t>
      </w:r>
    </w:p>
    <w:p w14:paraId="50AA75B3" w14:textId="77777777" w:rsidR="00D73133" w:rsidRPr="00D73133" w:rsidRDefault="00D73133" w:rsidP="00D73133">
      <w:pPr>
        <w:pStyle w:val="CEPATabletext"/>
        <w:rPr>
          <w:rFonts w:asciiTheme="minorHAnsi" w:hAnsiTheme="minorHAnsi" w:cstheme="minorHAnsi"/>
          <w:b/>
          <w:sz w:val="20"/>
          <w:szCs w:val="20"/>
        </w:rPr>
      </w:pPr>
      <w:r w:rsidRPr="00D73133">
        <w:rPr>
          <w:rFonts w:asciiTheme="minorHAnsi" w:hAnsiTheme="minorHAnsi" w:cstheme="minorHAnsi"/>
          <w:b/>
          <w:sz w:val="20"/>
          <w:szCs w:val="20"/>
        </w:rPr>
        <w:t>Unitaid Partner Meetings</w:t>
      </w:r>
    </w:p>
    <w:p w14:paraId="36722793" w14:textId="77777777" w:rsidR="00D73133" w:rsidRPr="00BC4D70" w:rsidRDefault="00D73133" w:rsidP="00D73133">
      <w:pPr>
        <w:pStyle w:val="CEPATabletext"/>
        <w:rPr>
          <w:rFonts w:asciiTheme="minorHAnsi" w:hAnsiTheme="minorHAnsi" w:cstheme="minorHAnsi"/>
          <w:sz w:val="20"/>
          <w:szCs w:val="20"/>
        </w:rPr>
      </w:pPr>
      <w:r>
        <w:rPr>
          <w:rFonts w:asciiTheme="minorHAnsi" w:hAnsiTheme="minorHAnsi" w:cstheme="minorHAnsi"/>
          <w:sz w:val="20"/>
          <w:szCs w:val="20"/>
        </w:rPr>
        <w:t>Unitaid</w:t>
      </w:r>
      <w:r w:rsidRPr="00BC4D70">
        <w:rPr>
          <w:rFonts w:asciiTheme="minorHAnsi" w:hAnsiTheme="minorHAnsi" w:cstheme="minorHAnsi"/>
          <w:sz w:val="20"/>
          <w:szCs w:val="20"/>
        </w:rPr>
        <w:t>, MSF, CHAI &amp; UNICEF (2012) First Meeting: HIV Diagnostics Projects, Geneva</w:t>
      </w:r>
    </w:p>
    <w:p w14:paraId="5464FA2F" w14:textId="77777777" w:rsidR="00D73133" w:rsidRPr="00BC4D70" w:rsidRDefault="00D73133" w:rsidP="00D73133">
      <w:pPr>
        <w:pStyle w:val="CEPATabletext"/>
        <w:rPr>
          <w:rFonts w:asciiTheme="minorHAnsi" w:hAnsiTheme="minorHAnsi" w:cstheme="minorHAnsi"/>
          <w:sz w:val="20"/>
          <w:szCs w:val="20"/>
        </w:rPr>
      </w:pPr>
      <w:r>
        <w:rPr>
          <w:rFonts w:asciiTheme="minorHAnsi" w:hAnsiTheme="minorHAnsi" w:cstheme="minorHAnsi"/>
          <w:sz w:val="20"/>
          <w:szCs w:val="20"/>
        </w:rPr>
        <w:t>Unitaid</w:t>
      </w:r>
      <w:r w:rsidRPr="00BC4D70">
        <w:rPr>
          <w:rFonts w:asciiTheme="minorHAnsi" w:hAnsiTheme="minorHAnsi" w:cstheme="minorHAnsi"/>
          <w:sz w:val="20"/>
          <w:szCs w:val="20"/>
        </w:rPr>
        <w:t xml:space="preserve"> &amp; WHO (2014) HIV Point-of-Care Testing and Monitoring Tools and Partners Synergy Meeting, Geneva </w:t>
      </w:r>
    </w:p>
    <w:p w14:paraId="40DEB75D" w14:textId="77777777" w:rsidR="00D73133" w:rsidRPr="00BC4D70" w:rsidRDefault="00D73133" w:rsidP="00D73133">
      <w:pPr>
        <w:pStyle w:val="CEPATabletext"/>
        <w:rPr>
          <w:rFonts w:asciiTheme="minorHAnsi" w:hAnsiTheme="minorHAnsi" w:cstheme="minorHAnsi"/>
          <w:sz w:val="20"/>
          <w:szCs w:val="20"/>
        </w:rPr>
      </w:pPr>
      <w:r>
        <w:rPr>
          <w:rFonts w:asciiTheme="minorHAnsi" w:hAnsiTheme="minorHAnsi" w:cstheme="minorHAnsi"/>
          <w:sz w:val="20"/>
          <w:szCs w:val="20"/>
        </w:rPr>
        <w:t>Unitaid</w:t>
      </w:r>
      <w:r w:rsidRPr="00BC4D70">
        <w:rPr>
          <w:rFonts w:asciiTheme="minorHAnsi" w:hAnsiTheme="minorHAnsi" w:cstheme="minorHAnsi"/>
          <w:sz w:val="20"/>
          <w:szCs w:val="20"/>
        </w:rPr>
        <w:t xml:space="preserve"> &amp; WHO (2015) Point-of-Care Diagnostics Evaluations: Partners Synergy Meeting (II) Meeting Report, Geneva </w:t>
      </w:r>
    </w:p>
    <w:p w14:paraId="3B2D3FE8" w14:textId="77777777" w:rsidR="00D73133" w:rsidRPr="00BC4D70" w:rsidRDefault="00D73133" w:rsidP="00D73133">
      <w:pPr>
        <w:pStyle w:val="CEPATabletext"/>
        <w:rPr>
          <w:rFonts w:asciiTheme="minorHAnsi" w:hAnsiTheme="minorHAnsi" w:cstheme="minorHAnsi"/>
          <w:sz w:val="20"/>
          <w:szCs w:val="20"/>
        </w:rPr>
      </w:pPr>
      <w:r>
        <w:rPr>
          <w:rFonts w:asciiTheme="minorHAnsi" w:hAnsiTheme="minorHAnsi" w:cstheme="minorHAnsi"/>
          <w:sz w:val="20"/>
          <w:szCs w:val="20"/>
        </w:rPr>
        <w:t>Unitaid</w:t>
      </w:r>
      <w:r w:rsidRPr="00BC4D70">
        <w:rPr>
          <w:rFonts w:asciiTheme="minorHAnsi" w:hAnsiTheme="minorHAnsi" w:cstheme="minorHAnsi"/>
          <w:sz w:val="20"/>
          <w:szCs w:val="20"/>
        </w:rPr>
        <w:t xml:space="preserve"> &amp; WHO (2017) Partners Synergy Meeting (III), Geneva</w:t>
      </w:r>
    </w:p>
    <w:p w14:paraId="06E0B421" w14:textId="77777777" w:rsidR="00D73133" w:rsidRPr="00BC4D70" w:rsidRDefault="00D73133" w:rsidP="00D73133">
      <w:pPr>
        <w:pStyle w:val="CEPATabletext"/>
        <w:rPr>
          <w:rFonts w:asciiTheme="minorHAnsi" w:hAnsiTheme="minorHAnsi" w:cstheme="minorHAnsi"/>
          <w:b/>
          <w:sz w:val="20"/>
          <w:szCs w:val="20"/>
        </w:rPr>
      </w:pPr>
      <w:r w:rsidRPr="00BC4D70">
        <w:rPr>
          <w:rFonts w:asciiTheme="minorHAnsi" w:hAnsiTheme="minorHAnsi" w:cstheme="minorHAnsi"/>
          <w:b/>
          <w:sz w:val="20"/>
          <w:szCs w:val="20"/>
        </w:rPr>
        <w:t xml:space="preserve">Other Related </w:t>
      </w:r>
      <w:r>
        <w:rPr>
          <w:rFonts w:asciiTheme="minorHAnsi" w:hAnsiTheme="minorHAnsi" w:cstheme="minorHAnsi"/>
          <w:b/>
          <w:sz w:val="20"/>
          <w:szCs w:val="20"/>
        </w:rPr>
        <w:t>Unitaid</w:t>
      </w:r>
      <w:r w:rsidRPr="00BC4D70">
        <w:rPr>
          <w:rFonts w:asciiTheme="minorHAnsi" w:hAnsiTheme="minorHAnsi" w:cstheme="minorHAnsi"/>
          <w:b/>
          <w:sz w:val="20"/>
          <w:szCs w:val="20"/>
        </w:rPr>
        <w:t xml:space="preserve"> Diagnostic Grants</w:t>
      </w:r>
    </w:p>
    <w:p w14:paraId="756B06FD" w14:textId="77777777" w:rsidR="00D73133" w:rsidRPr="00BC4D70" w:rsidRDefault="00D73133" w:rsidP="00D73133">
      <w:pPr>
        <w:pStyle w:val="CEPATabletext"/>
        <w:rPr>
          <w:rFonts w:asciiTheme="minorHAnsi" w:hAnsiTheme="minorHAnsi" w:cstheme="minorHAnsi"/>
          <w:sz w:val="20"/>
          <w:szCs w:val="20"/>
        </w:rPr>
      </w:pPr>
      <w:r w:rsidRPr="00BC4D70">
        <w:rPr>
          <w:rFonts w:asciiTheme="minorHAnsi" w:hAnsiTheme="minorHAnsi" w:cstheme="minorHAnsi"/>
          <w:sz w:val="20"/>
          <w:szCs w:val="20"/>
        </w:rPr>
        <w:t>CHAI &amp; UNICEF (2013) Innovation to Save Lives: Project to accelerate access to innovative point of care HIV Diagnostics: CD4, Early Infant Diagnosis, and Viral Load</w:t>
      </w:r>
    </w:p>
    <w:p w14:paraId="25F8102C" w14:textId="77777777" w:rsidR="00D73133" w:rsidRPr="00BC4D70" w:rsidRDefault="00D73133" w:rsidP="00D73133">
      <w:pPr>
        <w:pStyle w:val="CEPATabletext"/>
        <w:rPr>
          <w:rFonts w:asciiTheme="minorHAnsi" w:hAnsiTheme="minorHAnsi" w:cstheme="minorHAnsi"/>
          <w:sz w:val="20"/>
          <w:szCs w:val="20"/>
        </w:rPr>
      </w:pPr>
      <w:r w:rsidRPr="00BC4D70">
        <w:rPr>
          <w:rFonts w:asciiTheme="minorHAnsi" w:hAnsiTheme="minorHAnsi" w:cstheme="minorHAnsi"/>
          <w:sz w:val="20"/>
          <w:szCs w:val="20"/>
        </w:rPr>
        <w:t>OPP-ERA (n.d.) The OPP-ERA Project: Improving the monitoring of people living with HIV (</w:t>
      </w:r>
      <w:hyperlink r:id="rId24" w:history="1">
        <w:r w:rsidRPr="00BC4D70">
          <w:rPr>
            <w:rStyle w:val="Hyperlink"/>
            <w:rFonts w:asciiTheme="minorHAnsi" w:hAnsiTheme="minorHAnsi" w:cstheme="minorHAnsi"/>
            <w:sz w:val="20"/>
            <w:szCs w:val="20"/>
          </w:rPr>
          <w:t>http://opp-era.org/en/en/opp-era-project</w:t>
        </w:r>
      </w:hyperlink>
      <w:r w:rsidRPr="00BC4D70">
        <w:rPr>
          <w:rFonts w:asciiTheme="minorHAnsi" w:hAnsiTheme="minorHAnsi" w:cstheme="minorHAnsi"/>
          <w:sz w:val="20"/>
          <w:szCs w:val="20"/>
        </w:rPr>
        <w:t xml:space="preserve"> accessed 7th December 2017) </w:t>
      </w:r>
    </w:p>
    <w:p w14:paraId="38912FFE" w14:textId="77777777" w:rsidR="00D73133" w:rsidRPr="00BC4D70" w:rsidRDefault="00D73133" w:rsidP="00D73133">
      <w:pPr>
        <w:pStyle w:val="CEPATabletext"/>
        <w:rPr>
          <w:rFonts w:asciiTheme="minorHAnsi" w:hAnsiTheme="minorHAnsi" w:cstheme="minorHAnsi"/>
          <w:sz w:val="20"/>
          <w:szCs w:val="20"/>
        </w:rPr>
      </w:pPr>
      <w:r>
        <w:rPr>
          <w:rFonts w:asciiTheme="minorHAnsi" w:hAnsiTheme="minorHAnsi" w:cstheme="minorHAnsi"/>
          <w:sz w:val="20"/>
          <w:szCs w:val="20"/>
        </w:rPr>
        <w:t>Unitaid</w:t>
      </w:r>
      <w:r w:rsidRPr="00BC4D70">
        <w:rPr>
          <w:rFonts w:asciiTheme="minorHAnsi" w:hAnsiTheme="minorHAnsi" w:cstheme="minorHAnsi"/>
          <w:sz w:val="20"/>
          <w:szCs w:val="20"/>
        </w:rPr>
        <w:t xml:space="preserve"> (2012) Accelerating access and integration to innovative point-of-care diagnostics for HIV in national diagnostics programmes (</w:t>
      </w:r>
      <w:hyperlink r:id="rId25" w:anchor="en" w:history="1">
        <w:r w:rsidRPr="00BC4D70">
          <w:rPr>
            <w:rStyle w:val="Hyperlink"/>
            <w:rFonts w:asciiTheme="minorHAnsi" w:hAnsiTheme="minorHAnsi" w:cstheme="minorHAnsi"/>
            <w:sz w:val="20"/>
            <w:szCs w:val="20"/>
          </w:rPr>
          <w:t>https://</w:t>
        </w:r>
        <w:r>
          <w:rPr>
            <w:rStyle w:val="Hyperlink"/>
            <w:rFonts w:asciiTheme="minorHAnsi" w:hAnsiTheme="minorHAnsi" w:cstheme="minorHAnsi"/>
            <w:sz w:val="20"/>
            <w:szCs w:val="20"/>
          </w:rPr>
          <w:t>Unitaid</w:t>
        </w:r>
        <w:r w:rsidRPr="00BC4D70">
          <w:rPr>
            <w:rStyle w:val="Hyperlink"/>
            <w:rFonts w:asciiTheme="minorHAnsi" w:hAnsiTheme="minorHAnsi" w:cstheme="minorHAnsi"/>
            <w:sz w:val="20"/>
            <w:szCs w:val="20"/>
          </w:rPr>
          <w:t>.eu/project/accelerating-access-integration-innovative-point-care-poc-diagnostics-hiv-national-diagnostic-programmes/#en</w:t>
        </w:r>
      </w:hyperlink>
      <w:r w:rsidRPr="00BC4D70">
        <w:rPr>
          <w:rFonts w:asciiTheme="minorHAnsi" w:hAnsiTheme="minorHAnsi" w:cstheme="minorHAnsi"/>
          <w:sz w:val="20"/>
          <w:szCs w:val="20"/>
        </w:rPr>
        <w:t xml:space="preserve"> accessed 7</w:t>
      </w:r>
      <w:r w:rsidRPr="00BC4D70">
        <w:rPr>
          <w:rFonts w:asciiTheme="minorHAnsi" w:hAnsiTheme="minorHAnsi" w:cstheme="minorHAnsi"/>
          <w:sz w:val="20"/>
          <w:szCs w:val="20"/>
          <w:vertAlign w:val="superscript"/>
        </w:rPr>
        <w:t>th</w:t>
      </w:r>
      <w:r w:rsidRPr="00BC4D70">
        <w:rPr>
          <w:rFonts w:asciiTheme="minorHAnsi" w:hAnsiTheme="minorHAnsi" w:cstheme="minorHAnsi"/>
          <w:sz w:val="20"/>
          <w:szCs w:val="20"/>
        </w:rPr>
        <w:t xml:space="preserve"> December 2017) </w:t>
      </w:r>
    </w:p>
    <w:p w14:paraId="34EAEC1B" w14:textId="77777777" w:rsidR="00D73133" w:rsidRPr="00BC4D70" w:rsidRDefault="00D73133" w:rsidP="00D73133">
      <w:pPr>
        <w:pStyle w:val="CEPATabletext"/>
        <w:rPr>
          <w:rFonts w:asciiTheme="minorHAnsi" w:hAnsiTheme="minorHAnsi" w:cstheme="minorHAnsi"/>
          <w:sz w:val="20"/>
          <w:szCs w:val="20"/>
        </w:rPr>
      </w:pPr>
      <w:r>
        <w:rPr>
          <w:rFonts w:asciiTheme="minorHAnsi" w:hAnsiTheme="minorHAnsi" w:cstheme="minorHAnsi"/>
          <w:sz w:val="20"/>
          <w:szCs w:val="20"/>
        </w:rPr>
        <w:t>Unitaid</w:t>
      </w:r>
      <w:r w:rsidRPr="00BC4D70">
        <w:rPr>
          <w:rFonts w:asciiTheme="minorHAnsi" w:hAnsiTheme="minorHAnsi" w:cstheme="minorHAnsi"/>
          <w:sz w:val="20"/>
          <w:szCs w:val="20"/>
        </w:rPr>
        <w:t xml:space="preserve"> (2013) Providing access to viral-load monitoring and early-infant diagnosis by SAMBA (</w:t>
      </w:r>
      <w:hyperlink r:id="rId26" w:anchor="en" w:history="1">
        <w:r w:rsidRPr="00BC4D70">
          <w:rPr>
            <w:rStyle w:val="Hyperlink"/>
            <w:rFonts w:asciiTheme="minorHAnsi" w:hAnsiTheme="minorHAnsi" w:cstheme="minorHAnsi"/>
            <w:sz w:val="20"/>
            <w:szCs w:val="20"/>
          </w:rPr>
          <w:t>https://</w:t>
        </w:r>
        <w:r>
          <w:rPr>
            <w:rStyle w:val="Hyperlink"/>
            <w:rFonts w:asciiTheme="minorHAnsi" w:hAnsiTheme="minorHAnsi" w:cstheme="minorHAnsi"/>
            <w:sz w:val="20"/>
            <w:szCs w:val="20"/>
          </w:rPr>
          <w:t>Unitaid</w:t>
        </w:r>
        <w:r w:rsidRPr="00BC4D70">
          <w:rPr>
            <w:rStyle w:val="Hyperlink"/>
            <w:rFonts w:asciiTheme="minorHAnsi" w:hAnsiTheme="minorHAnsi" w:cstheme="minorHAnsi"/>
            <w:sz w:val="20"/>
            <w:szCs w:val="20"/>
          </w:rPr>
          <w:t>.eu/project/drw-samba-machines-early-infant-diagnosis/#en</w:t>
        </w:r>
      </w:hyperlink>
      <w:r w:rsidRPr="00BC4D70">
        <w:rPr>
          <w:rFonts w:asciiTheme="minorHAnsi" w:hAnsiTheme="minorHAnsi" w:cstheme="minorHAnsi"/>
          <w:sz w:val="20"/>
          <w:szCs w:val="20"/>
        </w:rPr>
        <w:t>, accessed 7</w:t>
      </w:r>
      <w:r w:rsidRPr="00BC4D70">
        <w:rPr>
          <w:rFonts w:asciiTheme="minorHAnsi" w:hAnsiTheme="minorHAnsi" w:cstheme="minorHAnsi"/>
          <w:sz w:val="20"/>
          <w:szCs w:val="20"/>
          <w:vertAlign w:val="superscript"/>
        </w:rPr>
        <w:t>th</w:t>
      </w:r>
      <w:r w:rsidRPr="00BC4D70">
        <w:rPr>
          <w:rFonts w:asciiTheme="minorHAnsi" w:hAnsiTheme="minorHAnsi" w:cstheme="minorHAnsi"/>
          <w:sz w:val="20"/>
          <w:szCs w:val="20"/>
        </w:rPr>
        <w:t xml:space="preserve"> December 2017) </w:t>
      </w:r>
    </w:p>
    <w:p w14:paraId="33709091" w14:textId="77777777" w:rsidR="00D73133" w:rsidRPr="00BC4D70" w:rsidRDefault="00D73133" w:rsidP="00D73133">
      <w:pPr>
        <w:pStyle w:val="CEPATabletext"/>
        <w:rPr>
          <w:rFonts w:asciiTheme="minorHAnsi" w:hAnsiTheme="minorHAnsi" w:cstheme="minorHAnsi"/>
          <w:sz w:val="20"/>
          <w:szCs w:val="20"/>
        </w:rPr>
      </w:pPr>
      <w:r>
        <w:rPr>
          <w:rFonts w:asciiTheme="minorHAnsi" w:hAnsiTheme="minorHAnsi" w:cstheme="minorHAnsi"/>
          <w:sz w:val="20"/>
          <w:szCs w:val="20"/>
        </w:rPr>
        <w:t>Unitaid</w:t>
      </w:r>
      <w:r w:rsidRPr="00BC4D70">
        <w:rPr>
          <w:rFonts w:asciiTheme="minorHAnsi" w:hAnsiTheme="minorHAnsi" w:cstheme="minorHAnsi"/>
          <w:sz w:val="20"/>
          <w:szCs w:val="20"/>
        </w:rPr>
        <w:t xml:space="preserve"> (2015) Integrating point-of-care, early-infant diagnostics for HIV into national laboratory networks (</w:t>
      </w:r>
      <w:hyperlink r:id="rId27" w:anchor="en" w:history="1">
        <w:r w:rsidRPr="00BC4D70">
          <w:rPr>
            <w:rStyle w:val="Hyperlink"/>
            <w:rFonts w:asciiTheme="minorHAnsi" w:hAnsiTheme="minorHAnsi" w:cstheme="minorHAnsi"/>
            <w:sz w:val="20"/>
            <w:szCs w:val="20"/>
          </w:rPr>
          <w:t>https://</w:t>
        </w:r>
        <w:r>
          <w:rPr>
            <w:rStyle w:val="Hyperlink"/>
            <w:rFonts w:asciiTheme="minorHAnsi" w:hAnsiTheme="minorHAnsi" w:cstheme="minorHAnsi"/>
            <w:sz w:val="20"/>
            <w:szCs w:val="20"/>
          </w:rPr>
          <w:t>Unitaid</w:t>
        </w:r>
        <w:r w:rsidRPr="00BC4D70">
          <w:rPr>
            <w:rStyle w:val="Hyperlink"/>
            <w:rFonts w:asciiTheme="minorHAnsi" w:hAnsiTheme="minorHAnsi" w:cstheme="minorHAnsi"/>
            <w:sz w:val="20"/>
            <w:szCs w:val="20"/>
          </w:rPr>
          <w:t>.eu/project/integrating-point-of-care-early-infant-diagnostics-hiv/#en</w:t>
        </w:r>
      </w:hyperlink>
      <w:r w:rsidRPr="00BC4D70">
        <w:rPr>
          <w:rFonts w:asciiTheme="minorHAnsi" w:hAnsiTheme="minorHAnsi" w:cstheme="minorHAnsi"/>
          <w:sz w:val="20"/>
          <w:szCs w:val="20"/>
        </w:rPr>
        <w:t xml:space="preserve"> accessed 7</w:t>
      </w:r>
      <w:r w:rsidRPr="00BC4D70">
        <w:rPr>
          <w:rFonts w:asciiTheme="minorHAnsi" w:hAnsiTheme="minorHAnsi" w:cstheme="minorHAnsi"/>
          <w:sz w:val="20"/>
          <w:szCs w:val="20"/>
          <w:vertAlign w:val="superscript"/>
        </w:rPr>
        <w:t>th</w:t>
      </w:r>
      <w:r w:rsidRPr="00BC4D70">
        <w:rPr>
          <w:rFonts w:asciiTheme="minorHAnsi" w:hAnsiTheme="minorHAnsi" w:cstheme="minorHAnsi"/>
          <w:sz w:val="20"/>
          <w:szCs w:val="20"/>
        </w:rPr>
        <w:t xml:space="preserve"> December 2017) </w:t>
      </w:r>
    </w:p>
    <w:p w14:paraId="0066CC78" w14:textId="77777777" w:rsidR="00D73133" w:rsidRPr="00BC4D70" w:rsidRDefault="00D73133" w:rsidP="00D73133">
      <w:pPr>
        <w:pStyle w:val="CEPATabletext"/>
        <w:rPr>
          <w:rFonts w:asciiTheme="minorHAnsi" w:hAnsiTheme="minorHAnsi" w:cstheme="minorHAnsi"/>
          <w:sz w:val="20"/>
          <w:szCs w:val="20"/>
        </w:rPr>
      </w:pPr>
      <w:r>
        <w:rPr>
          <w:rFonts w:asciiTheme="minorHAnsi" w:hAnsiTheme="minorHAnsi" w:cstheme="minorHAnsi"/>
          <w:sz w:val="20"/>
          <w:szCs w:val="20"/>
        </w:rPr>
        <w:t>Unitaid</w:t>
      </w:r>
      <w:r w:rsidRPr="00BC4D70">
        <w:rPr>
          <w:rFonts w:asciiTheme="minorHAnsi" w:hAnsiTheme="minorHAnsi" w:cstheme="minorHAnsi"/>
          <w:sz w:val="20"/>
          <w:szCs w:val="20"/>
        </w:rPr>
        <w:t xml:space="preserve"> (2016) Improving access to viral-load testing for people living with HIV (OPP-ERA phase 2) (</w:t>
      </w:r>
      <w:hyperlink r:id="rId28" w:anchor="en" w:history="1">
        <w:r w:rsidRPr="00BC4D70">
          <w:rPr>
            <w:rStyle w:val="Hyperlink"/>
            <w:rFonts w:asciiTheme="minorHAnsi" w:hAnsiTheme="minorHAnsi" w:cstheme="minorHAnsi"/>
            <w:sz w:val="20"/>
            <w:szCs w:val="20"/>
          </w:rPr>
          <w:t>https://</w:t>
        </w:r>
        <w:r>
          <w:rPr>
            <w:rStyle w:val="Hyperlink"/>
            <w:rFonts w:asciiTheme="minorHAnsi" w:hAnsiTheme="minorHAnsi" w:cstheme="minorHAnsi"/>
            <w:sz w:val="20"/>
            <w:szCs w:val="20"/>
          </w:rPr>
          <w:t>Unitaid</w:t>
        </w:r>
        <w:r w:rsidRPr="00BC4D70">
          <w:rPr>
            <w:rStyle w:val="Hyperlink"/>
            <w:rFonts w:asciiTheme="minorHAnsi" w:hAnsiTheme="minorHAnsi" w:cstheme="minorHAnsi"/>
            <w:sz w:val="20"/>
            <w:szCs w:val="20"/>
          </w:rPr>
          <w:t>.eu/project/improving-access-viral-load-testing-people-living-hiv-opp-era-phase-2/#en</w:t>
        </w:r>
      </w:hyperlink>
      <w:r w:rsidRPr="00BC4D70">
        <w:rPr>
          <w:rFonts w:asciiTheme="minorHAnsi" w:hAnsiTheme="minorHAnsi" w:cstheme="minorHAnsi"/>
          <w:sz w:val="20"/>
          <w:szCs w:val="20"/>
        </w:rPr>
        <w:t>, accessed 7</w:t>
      </w:r>
      <w:r w:rsidRPr="00BC4D70">
        <w:rPr>
          <w:rFonts w:asciiTheme="minorHAnsi" w:hAnsiTheme="minorHAnsi" w:cstheme="minorHAnsi"/>
          <w:sz w:val="20"/>
          <w:szCs w:val="20"/>
          <w:vertAlign w:val="superscript"/>
        </w:rPr>
        <w:t>th</w:t>
      </w:r>
      <w:r w:rsidRPr="00BC4D70">
        <w:rPr>
          <w:rFonts w:asciiTheme="minorHAnsi" w:hAnsiTheme="minorHAnsi" w:cstheme="minorHAnsi"/>
          <w:sz w:val="20"/>
          <w:szCs w:val="20"/>
        </w:rPr>
        <w:t xml:space="preserve"> December 2017)</w:t>
      </w:r>
    </w:p>
    <w:p w14:paraId="592EB3AE" w14:textId="00DF6FF6" w:rsidR="00D97E3B" w:rsidRPr="00BC4D70" w:rsidRDefault="00D97E3B" w:rsidP="001D093F">
      <w:pPr>
        <w:pStyle w:val="CEPATabletext"/>
        <w:rPr>
          <w:rFonts w:asciiTheme="minorHAnsi" w:hAnsiTheme="minorHAnsi" w:cstheme="minorHAnsi"/>
          <w:b/>
          <w:sz w:val="20"/>
          <w:szCs w:val="20"/>
        </w:rPr>
      </w:pPr>
      <w:r w:rsidRPr="00BC4D70">
        <w:rPr>
          <w:rFonts w:asciiTheme="minorHAnsi" w:hAnsiTheme="minorHAnsi" w:cstheme="minorHAnsi"/>
          <w:b/>
          <w:sz w:val="20"/>
          <w:szCs w:val="20"/>
        </w:rPr>
        <w:t xml:space="preserve">Other </w:t>
      </w:r>
      <w:r w:rsidR="00873066" w:rsidRPr="00BC4D70">
        <w:rPr>
          <w:rFonts w:asciiTheme="minorHAnsi" w:hAnsiTheme="minorHAnsi" w:cstheme="minorHAnsi"/>
          <w:b/>
          <w:sz w:val="20"/>
          <w:szCs w:val="20"/>
        </w:rPr>
        <w:t xml:space="preserve">Documents </w:t>
      </w:r>
    </w:p>
    <w:p w14:paraId="6FB0110B" w14:textId="5B81275D"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CHAI (2016) Assessing Implementation of Models of Differentiated Care For HIV Service Delivery in Malawi: Evidence Brief, September 2016</w:t>
      </w:r>
    </w:p>
    <w:p w14:paraId="22EC3678" w14:textId="3FEC6685" w:rsidR="00831159" w:rsidRPr="00BC4D70" w:rsidRDefault="00831159"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Decroo et al. (</w:t>
      </w:r>
      <w:r w:rsidR="001112E8" w:rsidRPr="00BC4D70">
        <w:rPr>
          <w:rFonts w:asciiTheme="minorHAnsi" w:hAnsiTheme="minorHAnsi" w:cstheme="minorHAnsi"/>
          <w:sz w:val="20"/>
          <w:szCs w:val="20"/>
        </w:rPr>
        <w:t>2013) Scaling Up Community ART Groups in Mozambique, International STD Research &amp; Reviews, Volume 1, Issue 2</w:t>
      </w:r>
    </w:p>
    <w:p w14:paraId="508AD658"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Donald (2017) Health-related quality of life of people with HIV in Zambia and South Africa, The Lancet Global Health, Volume 5, Issue 11 </w:t>
      </w:r>
    </w:p>
    <w:p w14:paraId="794DD7D7" w14:textId="79818F9A" w:rsidR="00D97E3B"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Ferreyra et al. (2012) </w:t>
      </w:r>
      <w:bookmarkStart w:id="624" w:name="_Hlk500515325"/>
      <w:r w:rsidRPr="00BC4D70">
        <w:rPr>
          <w:rFonts w:asciiTheme="minorHAnsi" w:hAnsiTheme="minorHAnsi" w:cstheme="minorHAnsi"/>
          <w:sz w:val="20"/>
          <w:szCs w:val="20"/>
        </w:rPr>
        <w:t>Evaluation of Clinical and Immunological Markers for Predicting Virological Failure in a HIV/AIDS Treatment Cohort in Busia, Kenya</w:t>
      </w:r>
      <w:bookmarkEnd w:id="624"/>
      <w:r w:rsidRPr="00BC4D70">
        <w:rPr>
          <w:rFonts w:asciiTheme="minorHAnsi" w:hAnsiTheme="minorHAnsi" w:cstheme="minorHAnsi"/>
          <w:sz w:val="20"/>
          <w:szCs w:val="20"/>
        </w:rPr>
        <w:t>, PLOS One, Volume 7, Issue 11</w:t>
      </w:r>
    </w:p>
    <w:p w14:paraId="7A6EF7C9" w14:textId="76FA9FAD" w:rsidR="008B73E3" w:rsidRDefault="008B73E3" w:rsidP="008B73E3">
      <w:pPr>
        <w:pStyle w:val="CEPATabletext"/>
        <w:rPr>
          <w:rFonts w:asciiTheme="minorHAnsi" w:hAnsiTheme="minorHAnsi" w:cstheme="minorHAnsi"/>
          <w:sz w:val="20"/>
          <w:szCs w:val="20"/>
        </w:rPr>
      </w:pPr>
      <w:bookmarkStart w:id="625" w:name="_Hlk506546187"/>
      <w:r>
        <w:rPr>
          <w:rFonts w:asciiTheme="minorHAnsi" w:hAnsiTheme="minorHAnsi" w:cstheme="minorHAnsi"/>
          <w:sz w:val="20"/>
          <w:szCs w:val="20"/>
        </w:rPr>
        <w:t>K</w:t>
      </w:r>
      <w:r w:rsidRPr="008B73E3">
        <w:rPr>
          <w:rFonts w:asciiTheme="minorHAnsi" w:hAnsiTheme="minorHAnsi" w:cstheme="minorHAnsi"/>
          <w:sz w:val="20"/>
          <w:szCs w:val="20"/>
        </w:rPr>
        <w:t>eiser</w:t>
      </w:r>
      <w:r>
        <w:rPr>
          <w:rFonts w:asciiTheme="minorHAnsi" w:hAnsiTheme="minorHAnsi" w:cstheme="minorHAnsi"/>
          <w:sz w:val="20"/>
          <w:szCs w:val="20"/>
        </w:rPr>
        <w:t xml:space="preserve"> et al, (2010). </w:t>
      </w:r>
      <w:r w:rsidRPr="008B73E3">
        <w:rPr>
          <w:rFonts w:asciiTheme="minorHAnsi" w:hAnsiTheme="minorHAnsi" w:cstheme="minorHAnsi"/>
          <w:sz w:val="20"/>
          <w:szCs w:val="20"/>
        </w:rPr>
        <w:t>Mortality after failure of antiretroviral therapy in sub-Saharan</w:t>
      </w:r>
      <w:r>
        <w:rPr>
          <w:rFonts w:asciiTheme="minorHAnsi" w:hAnsiTheme="minorHAnsi" w:cstheme="minorHAnsi"/>
          <w:sz w:val="20"/>
          <w:szCs w:val="20"/>
        </w:rPr>
        <w:t xml:space="preserve"> </w:t>
      </w:r>
      <w:r w:rsidRPr="008B73E3">
        <w:rPr>
          <w:rFonts w:asciiTheme="minorHAnsi" w:hAnsiTheme="minorHAnsi" w:cstheme="minorHAnsi"/>
          <w:sz w:val="20"/>
          <w:szCs w:val="20"/>
        </w:rPr>
        <w:t>Africa</w:t>
      </w:r>
      <w:r>
        <w:rPr>
          <w:rFonts w:asciiTheme="minorHAnsi" w:hAnsiTheme="minorHAnsi" w:cstheme="minorHAnsi"/>
          <w:sz w:val="20"/>
          <w:szCs w:val="20"/>
        </w:rPr>
        <w:t>.</w:t>
      </w:r>
      <w:r w:rsidRPr="008B73E3">
        <w:rPr>
          <w:rFonts w:asciiTheme="minorHAnsi" w:hAnsiTheme="minorHAnsi" w:cstheme="minorHAnsi"/>
          <w:sz w:val="20"/>
          <w:szCs w:val="20"/>
        </w:rPr>
        <w:t xml:space="preserve"> </w:t>
      </w:r>
      <w:r w:rsidRPr="009858A6">
        <w:rPr>
          <w:rFonts w:asciiTheme="minorHAnsi" w:hAnsiTheme="minorHAnsi" w:cstheme="minorHAnsi"/>
          <w:i/>
          <w:sz w:val="20"/>
          <w:szCs w:val="20"/>
        </w:rPr>
        <w:t>Trop Med Int Health</w:t>
      </w:r>
      <w:r w:rsidRPr="008B73E3">
        <w:rPr>
          <w:rFonts w:asciiTheme="minorHAnsi" w:hAnsiTheme="minorHAnsi" w:cstheme="minorHAnsi"/>
          <w:sz w:val="20"/>
          <w:szCs w:val="20"/>
        </w:rPr>
        <w:t>. 2010</w:t>
      </w:r>
      <w:r>
        <w:rPr>
          <w:rFonts w:asciiTheme="minorHAnsi" w:hAnsiTheme="minorHAnsi" w:cstheme="minorHAnsi"/>
          <w:sz w:val="20"/>
          <w:szCs w:val="20"/>
        </w:rPr>
        <w:t>;</w:t>
      </w:r>
      <w:r w:rsidRPr="008B73E3">
        <w:rPr>
          <w:rFonts w:asciiTheme="minorHAnsi" w:hAnsiTheme="minorHAnsi" w:cstheme="minorHAnsi"/>
          <w:sz w:val="20"/>
          <w:szCs w:val="20"/>
        </w:rPr>
        <w:t xml:space="preserve"> 15(2): 251–258.</w:t>
      </w:r>
    </w:p>
    <w:p w14:paraId="07CCA138" w14:textId="71BEED62" w:rsidR="008B73E3" w:rsidRPr="00BC4D70" w:rsidRDefault="008B73E3" w:rsidP="008B73E3">
      <w:pPr>
        <w:pStyle w:val="CEPATabletext"/>
        <w:rPr>
          <w:rFonts w:asciiTheme="minorHAnsi" w:hAnsiTheme="minorHAnsi" w:cstheme="minorHAnsi"/>
          <w:sz w:val="20"/>
          <w:szCs w:val="20"/>
        </w:rPr>
      </w:pPr>
      <w:r>
        <w:rPr>
          <w:rFonts w:asciiTheme="minorHAnsi" w:hAnsiTheme="minorHAnsi" w:cstheme="minorHAnsi"/>
          <w:sz w:val="20"/>
          <w:szCs w:val="20"/>
        </w:rPr>
        <w:t xml:space="preserve">Keiser et al (2011). </w:t>
      </w:r>
      <w:r w:rsidRPr="008B73E3">
        <w:rPr>
          <w:rFonts w:asciiTheme="minorHAnsi" w:hAnsiTheme="minorHAnsi" w:cstheme="minorHAnsi"/>
          <w:sz w:val="20"/>
          <w:szCs w:val="20"/>
        </w:rPr>
        <w:t>Outcomes of Antiretroviral Treatment in Programmes with and</w:t>
      </w:r>
      <w:r>
        <w:rPr>
          <w:rFonts w:asciiTheme="minorHAnsi" w:hAnsiTheme="minorHAnsi" w:cstheme="minorHAnsi"/>
          <w:sz w:val="20"/>
          <w:szCs w:val="20"/>
        </w:rPr>
        <w:t xml:space="preserve"> </w:t>
      </w:r>
      <w:r w:rsidRPr="008B73E3">
        <w:rPr>
          <w:rFonts w:asciiTheme="minorHAnsi" w:hAnsiTheme="minorHAnsi" w:cstheme="minorHAnsi"/>
          <w:sz w:val="20"/>
          <w:szCs w:val="20"/>
        </w:rPr>
        <w:t>without Routine Viral Load Monitoring in Southern Africa</w:t>
      </w:r>
      <w:r w:rsidR="009858A6">
        <w:rPr>
          <w:rFonts w:asciiTheme="minorHAnsi" w:hAnsiTheme="minorHAnsi" w:cstheme="minorHAnsi"/>
          <w:sz w:val="20"/>
          <w:szCs w:val="20"/>
        </w:rPr>
        <w:t xml:space="preserve">. </w:t>
      </w:r>
      <w:r w:rsidR="009858A6" w:rsidRPr="009858A6">
        <w:rPr>
          <w:rFonts w:asciiTheme="minorHAnsi" w:hAnsiTheme="minorHAnsi" w:cstheme="minorHAnsi"/>
          <w:i/>
          <w:sz w:val="20"/>
          <w:szCs w:val="20"/>
        </w:rPr>
        <w:t>AIDS</w:t>
      </w:r>
      <w:r>
        <w:rPr>
          <w:rFonts w:asciiTheme="minorHAnsi" w:hAnsiTheme="minorHAnsi" w:cstheme="minorHAnsi"/>
          <w:sz w:val="20"/>
          <w:szCs w:val="20"/>
        </w:rPr>
        <w:t xml:space="preserve"> </w:t>
      </w:r>
      <w:r w:rsidRPr="008B73E3">
        <w:rPr>
          <w:rFonts w:asciiTheme="minorHAnsi" w:hAnsiTheme="minorHAnsi" w:cstheme="minorHAnsi"/>
          <w:sz w:val="20"/>
          <w:szCs w:val="20"/>
        </w:rPr>
        <w:t>25(14): 1761–1769.</w:t>
      </w:r>
    </w:p>
    <w:bookmarkEnd w:id="625"/>
    <w:p w14:paraId="3A5E4632"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Malawi National AIDS Commission (2011) Malawi National HIV and AIDS Strategic Plan 2011-2016</w:t>
      </w:r>
    </w:p>
    <w:p w14:paraId="4DB7C601"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MOH Malawi (2015) HIV Viral Load Scale Up – Strategic and Implementation Plan 2015 to 2018 </w:t>
      </w:r>
    </w:p>
    <w:p w14:paraId="1E33E60A"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MOH Malawi (2017) Integrated HIV Program Report April-June 2017 </w:t>
      </w:r>
    </w:p>
    <w:p w14:paraId="480CC0A9"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MOH Malawi (2017) Integrated HIV Program Report January-March 2017 </w:t>
      </w:r>
    </w:p>
    <w:p w14:paraId="78CD404F" w14:textId="3FC1DC91" w:rsidR="00806F71" w:rsidRPr="00BC4D70" w:rsidRDefault="00B61C4F" w:rsidP="001D093F">
      <w:pPr>
        <w:pStyle w:val="CEPATabletext"/>
        <w:rPr>
          <w:rFonts w:asciiTheme="minorHAnsi" w:hAnsiTheme="minorHAnsi" w:cstheme="minorHAnsi"/>
          <w:sz w:val="20"/>
          <w:szCs w:val="20"/>
        </w:rPr>
      </w:pPr>
      <w:r>
        <w:rPr>
          <w:rFonts w:asciiTheme="minorHAnsi" w:hAnsiTheme="minorHAnsi" w:cstheme="minorHAnsi"/>
          <w:sz w:val="20"/>
          <w:szCs w:val="20"/>
        </w:rPr>
        <w:t>MOH</w:t>
      </w:r>
      <w:r w:rsidR="00806F71" w:rsidRPr="00BC4D70">
        <w:rPr>
          <w:rFonts w:asciiTheme="minorHAnsi" w:hAnsiTheme="minorHAnsi" w:cstheme="minorHAnsi"/>
          <w:sz w:val="20"/>
          <w:szCs w:val="20"/>
        </w:rPr>
        <w:t xml:space="preserve"> Malawi (2015) Malawi HIV Viral Load Scale up Strategic and Implementation Plan 2015 to 2018</w:t>
      </w:r>
    </w:p>
    <w:p w14:paraId="2C47E19F"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MSF (2016) Exploring health behaviours among HIV infected adolescents in Chiradzulu, Malawi – A Qualitative Study. </w:t>
      </w:r>
    </w:p>
    <w:p w14:paraId="5CA75C83"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MSF (2017) Zimbabwe: Overview of PLHIV and proposed distribution of Viral Load Infrastructure</w:t>
      </w:r>
    </w:p>
    <w:p w14:paraId="1B94FFEF"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Ritchie et al. (2016) Performance evaluation of the point-of-care SAMBA I and II HIV-1 Qual whole blood tests, Journal of Virological Methods, Volume 237</w:t>
      </w:r>
    </w:p>
    <w:p w14:paraId="3E2B2E58" w14:textId="108BE6C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Roberts et al. (2016) Scale-up of routine viral load testing in resource-poor settings: current and future implementation challenges, Clinical Infectious Diseases, </w:t>
      </w:r>
      <w:r w:rsidR="004945F6" w:rsidRPr="004945F6">
        <w:rPr>
          <w:rFonts w:asciiTheme="minorHAnsi" w:hAnsiTheme="minorHAnsi" w:cstheme="minorHAnsi"/>
          <w:sz w:val="20"/>
          <w:szCs w:val="20"/>
        </w:rPr>
        <w:t xml:space="preserve">2016, </w:t>
      </w:r>
      <w:hyperlink r:id="rId29" w:history="1">
        <w:r w:rsidR="00FA23B7" w:rsidRPr="004028C7">
          <w:rPr>
            <w:rStyle w:val="Hyperlink"/>
            <w:rFonts w:asciiTheme="minorHAnsi" w:hAnsiTheme="minorHAnsi" w:cstheme="minorHAnsi"/>
            <w:sz w:val="20"/>
            <w:szCs w:val="20"/>
          </w:rPr>
          <w:t>https://doi.org/10.1093/cid/ciw001</w:t>
        </w:r>
      </w:hyperlink>
      <w:r w:rsidR="00FA23B7">
        <w:rPr>
          <w:rFonts w:asciiTheme="minorHAnsi" w:hAnsiTheme="minorHAnsi" w:cstheme="minorHAnsi"/>
          <w:sz w:val="20"/>
          <w:szCs w:val="20"/>
        </w:rPr>
        <w:t xml:space="preserve"> </w:t>
      </w:r>
    </w:p>
    <w:p w14:paraId="199DBA7E"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Schramm, B. (2017) Understanding virological failure among adolescents living with HIV: a cross-sectional assessment &amp; a qualitative study, Presentation given for Kampala 2017 Scientific Day</w:t>
      </w:r>
    </w:p>
    <w:p w14:paraId="5308230D"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The Global Fund (2017) HIV Viral Load and Early Infant Diagnosis Selection and Procurement Information Tool (</w:t>
      </w:r>
      <w:hyperlink r:id="rId30" w:history="1">
        <w:r w:rsidRPr="00BC4D70">
          <w:rPr>
            <w:rStyle w:val="Hyperlink"/>
            <w:rFonts w:asciiTheme="minorHAnsi" w:hAnsiTheme="minorHAnsi" w:cstheme="minorHAnsi"/>
            <w:sz w:val="20"/>
            <w:szCs w:val="20"/>
          </w:rPr>
          <w:t>https://www.theglobalfund.org/media/5765/psm_viralloadearlyinfantdiagnosis_content_en.pdf</w:t>
        </w:r>
      </w:hyperlink>
      <w:r w:rsidRPr="00BC4D70">
        <w:rPr>
          <w:rFonts w:asciiTheme="minorHAnsi" w:hAnsiTheme="minorHAnsi" w:cstheme="minorHAnsi"/>
          <w:sz w:val="20"/>
          <w:szCs w:val="20"/>
        </w:rPr>
        <w:t xml:space="preserve"> accessed 7th December 2017)  </w:t>
      </w:r>
    </w:p>
    <w:p w14:paraId="7A359B29"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UNAIDS (2011) World AIDS Day Report, Geneva: UNAIDS</w:t>
      </w:r>
    </w:p>
    <w:p w14:paraId="758E743E" w14:textId="53A904C0" w:rsidR="00D97E3B"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UNAIDS (2014) 90-90-90: An ambitious treatment target to help end the AIDS epidemic. Geneva: UNAIDS</w:t>
      </w:r>
    </w:p>
    <w:p w14:paraId="16282187" w14:textId="5FEC79EA" w:rsidR="00044B97" w:rsidRPr="00BC4D70" w:rsidRDefault="00044B97" w:rsidP="00F167BF">
      <w:pPr>
        <w:pStyle w:val="CEPATabletext"/>
        <w:jc w:val="left"/>
        <w:rPr>
          <w:rFonts w:asciiTheme="minorHAnsi" w:hAnsiTheme="minorHAnsi" w:cstheme="minorHAnsi"/>
          <w:sz w:val="20"/>
          <w:szCs w:val="20"/>
        </w:rPr>
      </w:pPr>
      <w:r w:rsidRPr="00044B97">
        <w:rPr>
          <w:rFonts w:asciiTheme="minorHAnsi" w:hAnsiTheme="minorHAnsi" w:cstheme="minorHAnsi"/>
          <w:sz w:val="20"/>
          <w:szCs w:val="20"/>
        </w:rPr>
        <w:t>UNAIDS (2017) UNAIDS Data 2017 (http://www.unaids.org/sites/default/files/media_asset/20170720_Data_book_2017_en.pdf)</w:t>
      </w:r>
    </w:p>
    <w:p w14:paraId="4CBF0975" w14:textId="124BFCCE" w:rsidR="00873066" w:rsidRPr="00BC4D70" w:rsidRDefault="00B55E9C" w:rsidP="001D093F">
      <w:pPr>
        <w:pStyle w:val="CEPATabletext"/>
        <w:rPr>
          <w:rFonts w:asciiTheme="minorHAnsi" w:hAnsiTheme="minorHAnsi" w:cstheme="minorHAnsi"/>
          <w:sz w:val="20"/>
          <w:szCs w:val="20"/>
        </w:rPr>
      </w:pPr>
      <w:bookmarkStart w:id="626" w:name="_Hlk500413519"/>
      <w:r>
        <w:rPr>
          <w:rFonts w:asciiTheme="minorHAnsi" w:hAnsiTheme="minorHAnsi" w:cstheme="minorHAnsi"/>
          <w:sz w:val="20"/>
          <w:szCs w:val="20"/>
        </w:rPr>
        <w:t>Unitaid</w:t>
      </w:r>
      <w:r w:rsidR="00873066" w:rsidRPr="00BC4D70">
        <w:rPr>
          <w:rFonts w:asciiTheme="minorHAnsi" w:hAnsiTheme="minorHAnsi" w:cstheme="minorHAnsi"/>
          <w:sz w:val="20"/>
          <w:szCs w:val="20"/>
        </w:rPr>
        <w:t xml:space="preserve"> (2012) HIV/AIDS Diagnostic Technology Landscape, 2</w:t>
      </w:r>
      <w:r w:rsidR="00873066" w:rsidRPr="00BC4D70">
        <w:rPr>
          <w:rFonts w:asciiTheme="minorHAnsi" w:hAnsiTheme="minorHAnsi" w:cstheme="minorHAnsi"/>
          <w:sz w:val="20"/>
          <w:szCs w:val="20"/>
          <w:vertAlign w:val="superscript"/>
        </w:rPr>
        <w:t>nd</w:t>
      </w:r>
      <w:r w:rsidR="00873066" w:rsidRPr="00BC4D70">
        <w:rPr>
          <w:rFonts w:asciiTheme="minorHAnsi" w:hAnsiTheme="minorHAnsi" w:cstheme="minorHAnsi"/>
          <w:sz w:val="20"/>
          <w:szCs w:val="20"/>
        </w:rPr>
        <w:t xml:space="preserve"> Edition, June 2012 (and semi-annual update October 2012), Geneva: </w:t>
      </w:r>
      <w:r>
        <w:rPr>
          <w:rFonts w:asciiTheme="minorHAnsi" w:hAnsiTheme="minorHAnsi" w:cstheme="minorHAnsi"/>
          <w:sz w:val="20"/>
          <w:szCs w:val="20"/>
        </w:rPr>
        <w:t>Unitaid</w:t>
      </w:r>
      <w:r w:rsidR="00873066" w:rsidRPr="00BC4D70">
        <w:rPr>
          <w:rFonts w:asciiTheme="minorHAnsi" w:hAnsiTheme="minorHAnsi" w:cstheme="minorHAnsi"/>
          <w:sz w:val="20"/>
          <w:szCs w:val="20"/>
        </w:rPr>
        <w:t xml:space="preserve"> Secretariat </w:t>
      </w:r>
    </w:p>
    <w:bookmarkEnd w:id="626"/>
    <w:p w14:paraId="57DAA518" w14:textId="480A83D4" w:rsidR="00873066" w:rsidRPr="00BC4D70" w:rsidRDefault="00B55E9C" w:rsidP="001D093F">
      <w:pPr>
        <w:pStyle w:val="CEPATabletext"/>
        <w:rPr>
          <w:rFonts w:asciiTheme="minorHAnsi" w:hAnsiTheme="minorHAnsi" w:cstheme="minorHAnsi"/>
          <w:sz w:val="20"/>
          <w:szCs w:val="20"/>
        </w:rPr>
      </w:pPr>
      <w:r>
        <w:rPr>
          <w:rFonts w:asciiTheme="minorHAnsi" w:hAnsiTheme="minorHAnsi" w:cstheme="minorHAnsi"/>
          <w:sz w:val="20"/>
          <w:szCs w:val="20"/>
        </w:rPr>
        <w:t>Unitaid</w:t>
      </w:r>
      <w:r w:rsidR="00873066" w:rsidRPr="00BC4D70">
        <w:rPr>
          <w:rFonts w:asciiTheme="minorHAnsi" w:hAnsiTheme="minorHAnsi" w:cstheme="minorHAnsi"/>
          <w:sz w:val="20"/>
          <w:szCs w:val="20"/>
        </w:rPr>
        <w:t xml:space="preserve"> (2015) HIV/AIDS Diagnostics Technology Landscape, 5</w:t>
      </w:r>
      <w:r w:rsidR="00873066" w:rsidRPr="00BC4D70">
        <w:rPr>
          <w:rFonts w:asciiTheme="minorHAnsi" w:hAnsiTheme="minorHAnsi" w:cstheme="minorHAnsi"/>
          <w:sz w:val="20"/>
          <w:szCs w:val="20"/>
          <w:vertAlign w:val="superscript"/>
        </w:rPr>
        <w:t>th</w:t>
      </w:r>
      <w:r w:rsidR="00873066" w:rsidRPr="00BC4D70">
        <w:rPr>
          <w:rFonts w:asciiTheme="minorHAnsi" w:hAnsiTheme="minorHAnsi" w:cstheme="minorHAnsi"/>
          <w:sz w:val="20"/>
          <w:szCs w:val="20"/>
        </w:rPr>
        <w:t xml:space="preserve"> Edition, October 2015, Geneva: </w:t>
      </w:r>
      <w:r>
        <w:rPr>
          <w:rFonts w:asciiTheme="minorHAnsi" w:hAnsiTheme="minorHAnsi" w:cstheme="minorHAnsi"/>
          <w:sz w:val="20"/>
          <w:szCs w:val="20"/>
        </w:rPr>
        <w:t>Unitaid</w:t>
      </w:r>
      <w:r w:rsidR="00873066" w:rsidRPr="00BC4D70">
        <w:rPr>
          <w:rFonts w:asciiTheme="minorHAnsi" w:hAnsiTheme="minorHAnsi" w:cstheme="minorHAnsi"/>
          <w:sz w:val="20"/>
          <w:szCs w:val="20"/>
        </w:rPr>
        <w:t xml:space="preserve"> Secretariat.</w:t>
      </w:r>
    </w:p>
    <w:p w14:paraId="79FC7084" w14:textId="77777777" w:rsidR="00873066" w:rsidRPr="00BC4D70" w:rsidRDefault="00873066"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WHO (2014) Technical and Operational Considerations for Implementing HIV Viral Load Testing, Access to HIV Diagnostics</w:t>
      </w:r>
    </w:p>
    <w:p w14:paraId="750E7491"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 xml:space="preserve">WHO (2012) WHO Survey on ARV and Diagnostic Use – Preliminary Results; (http://www.who.int/entity/hiv/amds/1-PP7.pdf , accessed December 2017) </w:t>
      </w:r>
    </w:p>
    <w:p w14:paraId="469ADD3B"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WHO (2013) Consolidated guidelines on the use of antiretroviral drugs for treating and preventing HIV infection: recommendations for a public health approach. Geneva: World Health Organization; (</w:t>
      </w:r>
      <w:hyperlink r:id="rId31" w:history="1">
        <w:r w:rsidRPr="00BC4D70">
          <w:rPr>
            <w:rStyle w:val="Hyperlink"/>
            <w:rFonts w:asciiTheme="minorHAnsi" w:hAnsiTheme="minorHAnsi" w:cstheme="minorHAnsi"/>
            <w:sz w:val="20"/>
            <w:szCs w:val="20"/>
          </w:rPr>
          <w:t>http://www.who.int/hiv/pub/guidelines/arv2013/en</w:t>
        </w:r>
      </w:hyperlink>
      <w:r w:rsidRPr="00BC4D70">
        <w:rPr>
          <w:rFonts w:asciiTheme="minorHAnsi" w:hAnsiTheme="minorHAnsi" w:cstheme="minorHAnsi"/>
          <w:sz w:val="20"/>
          <w:szCs w:val="20"/>
        </w:rPr>
        <w:t xml:space="preserve">, accessed 1 December 2017). </w:t>
      </w:r>
    </w:p>
    <w:p w14:paraId="3E25F255" w14:textId="77777777" w:rsidR="00D97E3B" w:rsidRPr="00BC4D70" w:rsidRDefault="00D97E3B" w:rsidP="001D093F">
      <w:pPr>
        <w:pStyle w:val="CEPATabletext"/>
        <w:rPr>
          <w:rFonts w:asciiTheme="minorHAnsi" w:hAnsiTheme="minorHAnsi" w:cstheme="minorHAnsi"/>
          <w:sz w:val="20"/>
          <w:szCs w:val="20"/>
        </w:rPr>
      </w:pPr>
      <w:r w:rsidRPr="00BC4D70">
        <w:rPr>
          <w:rFonts w:asciiTheme="minorHAnsi" w:hAnsiTheme="minorHAnsi" w:cstheme="minorHAnsi"/>
          <w:sz w:val="20"/>
          <w:szCs w:val="20"/>
        </w:rPr>
        <w:t>Zimbabwe National AIDS Council (2011) Zimbabwe National HIV and AIDS Strategic Plan [ZNASP II] 2011-2015</w:t>
      </w:r>
    </w:p>
    <w:p w14:paraId="76916779" w14:textId="33EA1524" w:rsidR="00D97E3B" w:rsidRDefault="00D97E3B" w:rsidP="001D093F">
      <w:pPr>
        <w:pStyle w:val="CEPATabletext"/>
      </w:pPr>
      <w:r>
        <w:br w:type="page"/>
      </w:r>
    </w:p>
    <w:p w14:paraId="433B76C2" w14:textId="77777777" w:rsidR="00D97E3B" w:rsidRPr="00B943ED" w:rsidRDefault="00D97E3B" w:rsidP="001D093F">
      <w:pPr>
        <w:pStyle w:val="CEPATabletext"/>
        <w:sectPr w:rsidR="00D97E3B" w:rsidRPr="00B943ED" w:rsidSect="00280C9A">
          <w:pgSz w:w="11906" w:h="16838"/>
          <w:pgMar w:top="1440" w:right="1440" w:bottom="1440" w:left="1440" w:header="709" w:footer="709" w:gutter="0"/>
          <w:cols w:space="708"/>
          <w:docGrid w:linePitch="360"/>
        </w:sectPr>
      </w:pPr>
    </w:p>
    <w:p w14:paraId="5B47B63C" w14:textId="77777777" w:rsidR="00D97E3B" w:rsidRPr="00B943ED" w:rsidRDefault="00D97E3B" w:rsidP="00D97E3B">
      <w:pPr>
        <w:pStyle w:val="Heading7"/>
        <w:numPr>
          <w:ilvl w:val="0"/>
          <w:numId w:val="3"/>
        </w:numPr>
      </w:pPr>
      <w:bookmarkStart w:id="627" w:name="_Toc480382929"/>
      <w:bookmarkStart w:id="628" w:name="_Toc480382979"/>
      <w:bookmarkStart w:id="629" w:name="_Toc480401086"/>
      <w:bookmarkStart w:id="630" w:name="_Toc480448413"/>
      <w:bookmarkStart w:id="631" w:name="_Toc480475265"/>
      <w:bookmarkStart w:id="632" w:name="_Toc480476421"/>
      <w:bookmarkStart w:id="633" w:name="_Toc480546097"/>
      <w:bookmarkStart w:id="634" w:name="_Toc480549684"/>
      <w:bookmarkStart w:id="635" w:name="_Toc480553078"/>
      <w:bookmarkStart w:id="636" w:name="_Toc497836040"/>
      <w:bookmarkStart w:id="637" w:name="_Toc498093561"/>
      <w:bookmarkStart w:id="638" w:name="_Toc498094657"/>
      <w:bookmarkStart w:id="639" w:name="_Toc499825753"/>
      <w:bookmarkStart w:id="640" w:name="_Toc499827497"/>
      <w:bookmarkStart w:id="641" w:name="_Toc500074991"/>
      <w:bookmarkStart w:id="642" w:name="_Toc500077857"/>
      <w:bookmarkStart w:id="643" w:name="_Toc500179391"/>
      <w:bookmarkStart w:id="644" w:name="_Toc500182470"/>
      <w:bookmarkStart w:id="645" w:name="_Toc500445658"/>
      <w:bookmarkStart w:id="646" w:name="_Toc500503138"/>
      <w:bookmarkStart w:id="647" w:name="_Toc500508119"/>
      <w:bookmarkStart w:id="648" w:name="_Toc500512847"/>
      <w:bookmarkStart w:id="649" w:name="_Toc500517773"/>
      <w:bookmarkStart w:id="650" w:name="_Toc500519588"/>
      <w:bookmarkStart w:id="651" w:name="_Toc500524435"/>
      <w:bookmarkStart w:id="652" w:name="_Toc506417407"/>
      <w:bookmarkStart w:id="653" w:name="_Toc515359231"/>
      <w:bookmarkStart w:id="654" w:name="_Toc473622842"/>
      <w:bookmarkStart w:id="655" w:name="_Toc473627144"/>
      <w:bookmarkStart w:id="656" w:name="_Toc473634116"/>
      <w:bookmarkStart w:id="657" w:name="_Toc476672649"/>
      <w:bookmarkStart w:id="658" w:name="_Toc407114913"/>
      <w:bookmarkStart w:id="659" w:name="_Toc477356742"/>
      <w:bookmarkEnd w:id="622"/>
      <w:bookmarkEnd w:id="623"/>
      <w:r>
        <w:t>C</w:t>
      </w:r>
      <w:r w:rsidRPr="00B943ED">
        <w:t>onsultations and interview guides</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B943ED">
        <w:t xml:space="preserve">  </w:t>
      </w:r>
    </w:p>
    <w:bookmarkEnd w:id="654"/>
    <w:bookmarkEnd w:id="655"/>
    <w:bookmarkEnd w:id="656"/>
    <w:bookmarkEnd w:id="657"/>
    <w:bookmarkEnd w:id="658"/>
    <w:bookmarkEnd w:id="659"/>
    <w:p w14:paraId="6926F9C1" w14:textId="77777777" w:rsidR="00D97E3B" w:rsidRDefault="00D97E3B" w:rsidP="00D97E3B">
      <w:pPr>
        <w:pStyle w:val="CEPAReportText"/>
      </w:pPr>
      <w:r w:rsidRPr="00B4543F">
        <w:t>This</w:t>
      </w:r>
      <w:r>
        <w:t xml:space="preserve"> annex provides the list of consultations undertaken in support of this evaluation.</w:t>
      </w:r>
      <w:r>
        <w:rPr>
          <w:rStyle w:val="FootnoteReference"/>
        </w:rPr>
        <w:footnoteReference w:id="106"/>
      </w:r>
      <w:r>
        <w:t xml:space="preserve"> </w:t>
      </w:r>
    </w:p>
    <w:p w14:paraId="174858C7" w14:textId="14F1BF41" w:rsidR="00D97E3B" w:rsidRDefault="00D97E3B" w:rsidP="00622296">
      <w:pPr>
        <w:pStyle w:val="Heading8"/>
      </w:pPr>
      <w:r>
        <w:t>Consultee lists</w:t>
      </w:r>
    </w:p>
    <w:p w14:paraId="4D8280D7" w14:textId="2C0B433B" w:rsidR="00D97E3B" w:rsidRPr="002101B8" w:rsidRDefault="00D97E3B" w:rsidP="00D97E3B">
      <w:pPr>
        <w:rPr>
          <w:i/>
          <w:sz w:val="22"/>
        </w:rPr>
      </w:pPr>
      <w:r>
        <w:rPr>
          <w:i/>
          <w:sz w:val="22"/>
        </w:rPr>
        <w:t>Table B.</w:t>
      </w:r>
      <w:r w:rsidRPr="002101B8">
        <w:rPr>
          <w:i/>
          <w:sz w:val="22"/>
        </w:rPr>
        <w:t xml:space="preserve">1: </w:t>
      </w:r>
      <w:r>
        <w:rPr>
          <w:i/>
          <w:sz w:val="22"/>
        </w:rPr>
        <w:t>Global c</w:t>
      </w:r>
      <w:r w:rsidRPr="002101B8">
        <w:rPr>
          <w:i/>
          <w:sz w:val="22"/>
        </w:rPr>
        <w:t>onsultee list</w:t>
      </w:r>
      <w:r w:rsidDel="00D436B6">
        <w:rPr>
          <w:i/>
          <w:sz w:val="22"/>
        </w:rPr>
        <w:t xml:space="preserve"> </w:t>
      </w:r>
    </w:p>
    <w:tbl>
      <w:tblPr>
        <w:tblStyle w:val="TableGridCEPA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25"/>
        <w:gridCol w:w="1731"/>
        <w:gridCol w:w="2268"/>
        <w:gridCol w:w="3492"/>
      </w:tblGrid>
      <w:tr w:rsidR="00D97E3B" w:rsidRPr="00A11B68" w14:paraId="0CCDC78D" w14:textId="77777777" w:rsidTr="00873066">
        <w:trPr>
          <w:cnfStyle w:val="100000000000" w:firstRow="1" w:lastRow="0" w:firstColumn="0" w:lastColumn="0" w:oddVBand="0" w:evenVBand="0" w:oddHBand="0" w:evenHBand="0" w:firstRowFirstColumn="0" w:firstRowLastColumn="0" w:lastRowFirstColumn="0" w:lastRowLastColumn="0"/>
          <w:tblHeader/>
        </w:trPr>
        <w:tc>
          <w:tcPr>
            <w:tcW w:w="1525" w:type="dxa"/>
          </w:tcPr>
          <w:p w14:paraId="22959AF0" w14:textId="77777777" w:rsidR="00D97E3B" w:rsidRPr="00A11B68" w:rsidRDefault="00D97E3B" w:rsidP="00873066">
            <w:pPr>
              <w:pStyle w:val="CEPAReportText"/>
              <w:spacing w:before="60" w:afterLines="60" w:after="144" w:line="240" w:lineRule="auto"/>
              <w:rPr>
                <w:szCs w:val="22"/>
              </w:rPr>
            </w:pPr>
            <w:r w:rsidRPr="00A11B68">
              <w:rPr>
                <w:color w:val="FFFFFF" w:themeColor="background1"/>
                <w:szCs w:val="22"/>
              </w:rPr>
              <w:t xml:space="preserve">Stakeholder </w:t>
            </w:r>
          </w:p>
        </w:tc>
        <w:tc>
          <w:tcPr>
            <w:tcW w:w="1731" w:type="dxa"/>
          </w:tcPr>
          <w:p w14:paraId="6065B311" w14:textId="77777777" w:rsidR="00D97E3B" w:rsidRPr="00A11B68" w:rsidRDefault="00D97E3B" w:rsidP="00873066">
            <w:pPr>
              <w:pStyle w:val="CEPAReportText"/>
              <w:spacing w:before="60" w:afterLines="60" w:after="144" w:line="240" w:lineRule="auto"/>
              <w:rPr>
                <w:color w:val="FFFFFF" w:themeColor="background1"/>
              </w:rPr>
            </w:pPr>
            <w:r w:rsidRPr="00A11B68">
              <w:rPr>
                <w:color w:val="FFFFFF" w:themeColor="background1"/>
              </w:rPr>
              <w:t>Organisation</w:t>
            </w:r>
          </w:p>
        </w:tc>
        <w:tc>
          <w:tcPr>
            <w:tcW w:w="2268" w:type="dxa"/>
          </w:tcPr>
          <w:p w14:paraId="389370C3" w14:textId="77777777" w:rsidR="00D97E3B" w:rsidRPr="00A11B68" w:rsidRDefault="00D97E3B" w:rsidP="00873066">
            <w:pPr>
              <w:pStyle w:val="CEPAReportText"/>
              <w:spacing w:before="60" w:afterLines="60" w:after="144" w:line="240" w:lineRule="auto"/>
              <w:rPr>
                <w:szCs w:val="22"/>
              </w:rPr>
            </w:pPr>
            <w:r w:rsidRPr="00A11B68">
              <w:rPr>
                <w:color w:val="FFFFFF" w:themeColor="background1"/>
                <w:szCs w:val="22"/>
              </w:rPr>
              <w:t>Name</w:t>
            </w:r>
          </w:p>
        </w:tc>
        <w:tc>
          <w:tcPr>
            <w:tcW w:w="3492" w:type="dxa"/>
          </w:tcPr>
          <w:p w14:paraId="0B59BDAA" w14:textId="77777777" w:rsidR="00D97E3B" w:rsidRPr="00A11B68" w:rsidRDefault="00D97E3B" w:rsidP="00873066">
            <w:pPr>
              <w:pStyle w:val="CEPAReportText"/>
              <w:spacing w:before="60" w:afterLines="60" w:after="144" w:line="240" w:lineRule="auto"/>
              <w:rPr>
                <w:b w:val="0"/>
                <w:color w:val="auto"/>
                <w:szCs w:val="22"/>
              </w:rPr>
            </w:pPr>
            <w:r w:rsidRPr="00A11B68">
              <w:rPr>
                <w:color w:val="FFFFFF" w:themeColor="background1"/>
                <w:szCs w:val="22"/>
              </w:rPr>
              <w:t>Position</w:t>
            </w:r>
          </w:p>
        </w:tc>
      </w:tr>
      <w:tr w:rsidR="00D97E3B" w:rsidRPr="00A11B68" w14:paraId="06D23BEB" w14:textId="77777777" w:rsidTr="00873066">
        <w:tc>
          <w:tcPr>
            <w:tcW w:w="1525" w:type="dxa"/>
            <w:vMerge w:val="restart"/>
          </w:tcPr>
          <w:p w14:paraId="4D6D26D1" w14:textId="0EFEA435" w:rsidR="00D97E3B" w:rsidRPr="007023B3" w:rsidRDefault="00B55E9C" w:rsidP="00873066">
            <w:pPr>
              <w:pStyle w:val="CEPATabletext"/>
              <w:rPr>
                <w:color w:val="auto"/>
              </w:rPr>
            </w:pPr>
            <w:r>
              <w:rPr>
                <w:color w:val="auto"/>
              </w:rPr>
              <w:t>Unitaid</w:t>
            </w:r>
          </w:p>
          <w:p w14:paraId="6F76FB69" w14:textId="77777777" w:rsidR="00D97E3B" w:rsidRPr="007023B3" w:rsidRDefault="00D97E3B" w:rsidP="00873066">
            <w:pPr>
              <w:pStyle w:val="CEPATabletext"/>
              <w:rPr>
                <w:color w:val="auto"/>
              </w:rPr>
            </w:pPr>
          </w:p>
          <w:p w14:paraId="4297E308" w14:textId="77777777" w:rsidR="00D97E3B" w:rsidRPr="007023B3" w:rsidRDefault="00D97E3B" w:rsidP="00873066">
            <w:pPr>
              <w:pStyle w:val="CEPATabletext"/>
              <w:rPr>
                <w:color w:val="auto"/>
              </w:rPr>
            </w:pPr>
          </w:p>
        </w:tc>
        <w:tc>
          <w:tcPr>
            <w:tcW w:w="1731" w:type="dxa"/>
            <w:vMerge w:val="restart"/>
          </w:tcPr>
          <w:p w14:paraId="57ED755C" w14:textId="26AF2551" w:rsidR="00D97E3B" w:rsidRPr="007023B3" w:rsidRDefault="00B55E9C" w:rsidP="00873066">
            <w:pPr>
              <w:pStyle w:val="CEPATabletext"/>
              <w:rPr>
                <w:color w:val="auto"/>
              </w:rPr>
            </w:pPr>
            <w:r>
              <w:rPr>
                <w:color w:val="auto"/>
              </w:rPr>
              <w:t>Unitaid</w:t>
            </w:r>
            <w:r w:rsidR="00D97E3B" w:rsidRPr="007023B3">
              <w:rPr>
                <w:color w:val="auto"/>
              </w:rPr>
              <w:t xml:space="preserve"> Secretariat </w:t>
            </w:r>
          </w:p>
          <w:p w14:paraId="4BBC20E4" w14:textId="77777777" w:rsidR="00D97E3B" w:rsidRPr="007023B3" w:rsidRDefault="00D97E3B" w:rsidP="00873066">
            <w:pPr>
              <w:pStyle w:val="CEPATabletext"/>
              <w:rPr>
                <w:color w:val="auto"/>
              </w:rPr>
            </w:pPr>
          </w:p>
          <w:p w14:paraId="0B4695D6" w14:textId="77777777" w:rsidR="00D97E3B" w:rsidRPr="007023B3" w:rsidRDefault="00D97E3B" w:rsidP="00873066">
            <w:pPr>
              <w:pStyle w:val="CEPATabletext"/>
              <w:rPr>
                <w:color w:val="auto"/>
              </w:rPr>
            </w:pPr>
          </w:p>
          <w:p w14:paraId="2DEEDF67" w14:textId="77777777" w:rsidR="00D97E3B" w:rsidRPr="007023B3" w:rsidRDefault="00D97E3B" w:rsidP="00873066">
            <w:pPr>
              <w:pStyle w:val="CEPATabletext"/>
              <w:rPr>
                <w:color w:val="auto"/>
              </w:rPr>
            </w:pPr>
          </w:p>
          <w:p w14:paraId="3FFD2FC9" w14:textId="77777777" w:rsidR="00D97E3B" w:rsidRPr="007023B3" w:rsidRDefault="00D97E3B" w:rsidP="00873066">
            <w:pPr>
              <w:pStyle w:val="CEPATabletext"/>
              <w:rPr>
                <w:color w:val="auto"/>
              </w:rPr>
            </w:pPr>
          </w:p>
        </w:tc>
        <w:tc>
          <w:tcPr>
            <w:tcW w:w="2268" w:type="dxa"/>
            <w:vAlign w:val="center"/>
          </w:tcPr>
          <w:p w14:paraId="6F1F02CA" w14:textId="77777777" w:rsidR="00D97E3B" w:rsidRPr="007023B3" w:rsidRDefault="00D97E3B" w:rsidP="00873066">
            <w:pPr>
              <w:pStyle w:val="CEPATabletext"/>
              <w:rPr>
                <w:color w:val="auto"/>
              </w:rPr>
            </w:pPr>
            <w:r w:rsidRPr="007023B3">
              <w:rPr>
                <w:rFonts w:cs="Calibri"/>
                <w:color w:val="auto"/>
                <w:szCs w:val="22"/>
              </w:rPr>
              <w:t>Robert Matiru</w:t>
            </w:r>
          </w:p>
        </w:tc>
        <w:tc>
          <w:tcPr>
            <w:tcW w:w="3492" w:type="dxa"/>
            <w:vAlign w:val="center"/>
          </w:tcPr>
          <w:p w14:paraId="13BAF83F" w14:textId="77777777" w:rsidR="00D97E3B" w:rsidRPr="007023B3" w:rsidRDefault="00D97E3B" w:rsidP="00873066">
            <w:pPr>
              <w:pStyle w:val="CEPATabletext"/>
              <w:rPr>
                <w:color w:val="auto"/>
              </w:rPr>
            </w:pPr>
            <w:r w:rsidRPr="007023B3">
              <w:rPr>
                <w:rFonts w:cs="Calibri"/>
                <w:color w:val="auto"/>
                <w:szCs w:val="22"/>
              </w:rPr>
              <w:t>Operations Director</w:t>
            </w:r>
          </w:p>
        </w:tc>
      </w:tr>
      <w:tr w:rsidR="00D97E3B" w:rsidRPr="00A11B68" w14:paraId="042291AB" w14:textId="77777777" w:rsidTr="00873066">
        <w:tc>
          <w:tcPr>
            <w:tcW w:w="1525" w:type="dxa"/>
            <w:vMerge/>
          </w:tcPr>
          <w:p w14:paraId="4A514E3C" w14:textId="77777777" w:rsidR="00D97E3B" w:rsidRPr="007023B3" w:rsidRDefault="00D97E3B" w:rsidP="00873066">
            <w:pPr>
              <w:pStyle w:val="CEPATabletext"/>
              <w:rPr>
                <w:color w:val="auto"/>
              </w:rPr>
            </w:pPr>
          </w:p>
        </w:tc>
        <w:tc>
          <w:tcPr>
            <w:tcW w:w="1731" w:type="dxa"/>
            <w:vMerge/>
          </w:tcPr>
          <w:p w14:paraId="2C331F8D" w14:textId="77777777" w:rsidR="00D97E3B" w:rsidRPr="007023B3" w:rsidRDefault="00D97E3B" w:rsidP="00873066">
            <w:pPr>
              <w:pStyle w:val="CEPATabletext"/>
              <w:rPr>
                <w:color w:val="auto"/>
              </w:rPr>
            </w:pPr>
          </w:p>
        </w:tc>
        <w:tc>
          <w:tcPr>
            <w:tcW w:w="2268" w:type="dxa"/>
            <w:vAlign w:val="center"/>
          </w:tcPr>
          <w:p w14:paraId="404E3033" w14:textId="77777777" w:rsidR="00D97E3B" w:rsidRPr="007023B3" w:rsidRDefault="00D97E3B" w:rsidP="00873066">
            <w:pPr>
              <w:pStyle w:val="CEPATabletext"/>
              <w:rPr>
                <w:color w:val="auto"/>
              </w:rPr>
            </w:pPr>
            <w:r w:rsidRPr="007023B3">
              <w:rPr>
                <w:rFonts w:cs="Calibri"/>
                <w:color w:val="auto"/>
                <w:szCs w:val="22"/>
              </w:rPr>
              <w:t>Smiljka de Lussigny</w:t>
            </w:r>
          </w:p>
        </w:tc>
        <w:tc>
          <w:tcPr>
            <w:tcW w:w="3492" w:type="dxa"/>
            <w:vAlign w:val="center"/>
          </w:tcPr>
          <w:p w14:paraId="129BF56A" w14:textId="77777777" w:rsidR="00D97E3B" w:rsidRPr="007023B3" w:rsidRDefault="00D97E3B" w:rsidP="00873066">
            <w:pPr>
              <w:pStyle w:val="CEPATabletext"/>
              <w:rPr>
                <w:color w:val="auto"/>
              </w:rPr>
            </w:pPr>
            <w:r w:rsidRPr="007023B3">
              <w:rPr>
                <w:rFonts w:cs="Calibri"/>
                <w:color w:val="auto"/>
                <w:szCs w:val="22"/>
              </w:rPr>
              <w:t>Programme Manager</w:t>
            </w:r>
          </w:p>
        </w:tc>
      </w:tr>
      <w:tr w:rsidR="00D97E3B" w:rsidRPr="00A11B68" w14:paraId="1F2E3DF2" w14:textId="77777777" w:rsidTr="00873066">
        <w:trPr>
          <w:trHeight w:val="349"/>
        </w:trPr>
        <w:tc>
          <w:tcPr>
            <w:tcW w:w="1525" w:type="dxa"/>
            <w:vMerge/>
          </w:tcPr>
          <w:p w14:paraId="3D3AFC67" w14:textId="77777777" w:rsidR="00D97E3B" w:rsidRPr="007023B3" w:rsidRDefault="00D97E3B" w:rsidP="00873066">
            <w:pPr>
              <w:pStyle w:val="CEPATabletext"/>
              <w:rPr>
                <w:color w:val="auto"/>
              </w:rPr>
            </w:pPr>
          </w:p>
        </w:tc>
        <w:tc>
          <w:tcPr>
            <w:tcW w:w="1731" w:type="dxa"/>
            <w:vMerge/>
          </w:tcPr>
          <w:p w14:paraId="1AF1C680" w14:textId="77777777" w:rsidR="00D97E3B" w:rsidRPr="007023B3" w:rsidRDefault="00D97E3B" w:rsidP="00873066">
            <w:pPr>
              <w:pStyle w:val="CEPATabletext"/>
              <w:rPr>
                <w:color w:val="auto"/>
              </w:rPr>
            </w:pPr>
          </w:p>
        </w:tc>
        <w:tc>
          <w:tcPr>
            <w:tcW w:w="2268" w:type="dxa"/>
            <w:vAlign w:val="center"/>
          </w:tcPr>
          <w:p w14:paraId="4858D020" w14:textId="77777777" w:rsidR="00D97E3B" w:rsidRPr="007023B3" w:rsidRDefault="00D97E3B" w:rsidP="00873066">
            <w:pPr>
              <w:pStyle w:val="CEPATabletext"/>
              <w:rPr>
                <w:color w:val="auto"/>
              </w:rPr>
            </w:pPr>
            <w:r w:rsidRPr="007023B3">
              <w:rPr>
                <w:rFonts w:cs="Calibri"/>
                <w:color w:val="auto"/>
                <w:szCs w:val="22"/>
              </w:rPr>
              <w:t>Lorenzo Witherspoon</w:t>
            </w:r>
          </w:p>
        </w:tc>
        <w:tc>
          <w:tcPr>
            <w:tcW w:w="3492" w:type="dxa"/>
            <w:vAlign w:val="center"/>
          </w:tcPr>
          <w:p w14:paraId="12353B3D" w14:textId="77777777" w:rsidR="00D97E3B" w:rsidRPr="007023B3" w:rsidRDefault="00D97E3B" w:rsidP="00873066">
            <w:pPr>
              <w:pStyle w:val="CEPATabletext"/>
              <w:rPr>
                <w:color w:val="auto"/>
              </w:rPr>
            </w:pPr>
            <w:r w:rsidRPr="007023B3">
              <w:rPr>
                <w:rFonts w:cs="Calibri"/>
                <w:color w:val="auto"/>
                <w:szCs w:val="22"/>
              </w:rPr>
              <w:t>Procurement Officer</w:t>
            </w:r>
          </w:p>
        </w:tc>
      </w:tr>
      <w:tr w:rsidR="00D97E3B" w:rsidRPr="00A11B68" w14:paraId="4E86BCD6" w14:textId="77777777" w:rsidTr="00873066">
        <w:tc>
          <w:tcPr>
            <w:tcW w:w="1525" w:type="dxa"/>
            <w:vMerge/>
          </w:tcPr>
          <w:p w14:paraId="4C0B3BE3" w14:textId="77777777" w:rsidR="00D97E3B" w:rsidRPr="007023B3" w:rsidRDefault="00D97E3B" w:rsidP="00873066">
            <w:pPr>
              <w:pStyle w:val="CEPATabletext"/>
              <w:rPr>
                <w:color w:val="auto"/>
              </w:rPr>
            </w:pPr>
          </w:p>
        </w:tc>
        <w:tc>
          <w:tcPr>
            <w:tcW w:w="1731" w:type="dxa"/>
            <w:vMerge/>
          </w:tcPr>
          <w:p w14:paraId="66055E89" w14:textId="77777777" w:rsidR="00D97E3B" w:rsidRPr="007023B3" w:rsidRDefault="00D97E3B" w:rsidP="00873066">
            <w:pPr>
              <w:pStyle w:val="CEPATabletext"/>
              <w:rPr>
                <w:color w:val="auto"/>
              </w:rPr>
            </w:pPr>
          </w:p>
        </w:tc>
        <w:tc>
          <w:tcPr>
            <w:tcW w:w="2268" w:type="dxa"/>
            <w:vAlign w:val="center"/>
          </w:tcPr>
          <w:p w14:paraId="77089D43" w14:textId="77777777" w:rsidR="00D97E3B" w:rsidRPr="007023B3" w:rsidRDefault="00D97E3B" w:rsidP="00873066">
            <w:pPr>
              <w:pStyle w:val="CEPATabletext"/>
              <w:rPr>
                <w:color w:val="auto"/>
              </w:rPr>
            </w:pPr>
            <w:r w:rsidRPr="007023B3">
              <w:rPr>
                <w:rFonts w:cs="Calibri"/>
                <w:color w:val="auto"/>
                <w:szCs w:val="22"/>
              </w:rPr>
              <w:t>Carmen Perez</w:t>
            </w:r>
          </w:p>
        </w:tc>
        <w:tc>
          <w:tcPr>
            <w:tcW w:w="3492" w:type="dxa"/>
            <w:vAlign w:val="center"/>
          </w:tcPr>
          <w:p w14:paraId="2085F7F9" w14:textId="77777777" w:rsidR="00D97E3B" w:rsidRPr="007023B3" w:rsidRDefault="00D97E3B" w:rsidP="00873066">
            <w:pPr>
              <w:pStyle w:val="CEPATabletext"/>
              <w:rPr>
                <w:color w:val="auto"/>
              </w:rPr>
            </w:pPr>
            <w:r w:rsidRPr="007023B3">
              <w:rPr>
                <w:rFonts w:cs="Calibri"/>
                <w:color w:val="auto"/>
                <w:szCs w:val="22"/>
              </w:rPr>
              <w:t>HIV Strategy Manager</w:t>
            </w:r>
          </w:p>
        </w:tc>
      </w:tr>
      <w:tr w:rsidR="00D97E3B" w:rsidRPr="00A11B68" w14:paraId="0E94EAE4" w14:textId="77777777" w:rsidTr="00873066">
        <w:tc>
          <w:tcPr>
            <w:tcW w:w="1525" w:type="dxa"/>
            <w:vMerge/>
          </w:tcPr>
          <w:p w14:paraId="22072C1F" w14:textId="77777777" w:rsidR="00D97E3B" w:rsidRPr="007023B3" w:rsidRDefault="00D97E3B" w:rsidP="00873066">
            <w:pPr>
              <w:pStyle w:val="CEPATabletext"/>
              <w:rPr>
                <w:color w:val="auto"/>
              </w:rPr>
            </w:pPr>
          </w:p>
        </w:tc>
        <w:tc>
          <w:tcPr>
            <w:tcW w:w="1731" w:type="dxa"/>
            <w:vMerge/>
          </w:tcPr>
          <w:p w14:paraId="08345497" w14:textId="77777777" w:rsidR="00D97E3B" w:rsidRPr="007023B3" w:rsidRDefault="00D97E3B" w:rsidP="00873066">
            <w:pPr>
              <w:pStyle w:val="CEPATabletext"/>
              <w:rPr>
                <w:color w:val="auto"/>
              </w:rPr>
            </w:pPr>
          </w:p>
        </w:tc>
        <w:tc>
          <w:tcPr>
            <w:tcW w:w="2268" w:type="dxa"/>
            <w:vAlign w:val="bottom"/>
          </w:tcPr>
          <w:p w14:paraId="5A9DE897" w14:textId="77777777" w:rsidR="00D97E3B" w:rsidRPr="007023B3" w:rsidRDefault="00D97E3B" w:rsidP="00873066">
            <w:pPr>
              <w:pStyle w:val="CEPATabletext"/>
              <w:rPr>
                <w:color w:val="auto"/>
              </w:rPr>
            </w:pPr>
            <w:r w:rsidRPr="007023B3">
              <w:rPr>
                <w:rFonts w:cs="Calibri"/>
                <w:color w:val="auto"/>
                <w:szCs w:val="22"/>
              </w:rPr>
              <w:t>Philippe Duneton</w:t>
            </w:r>
          </w:p>
        </w:tc>
        <w:tc>
          <w:tcPr>
            <w:tcW w:w="3492" w:type="dxa"/>
            <w:vAlign w:val="center"/>
          </w:tcPr>
          <w:p w14:paraId="76F0CA7C" w14:textId="77777777" w:rsidR="00D97E3B" w:rsidRPr="007023B3" w:rsidRDefault="00D97E3B" w:rsidP="00873066">
            <w:pPr>
              <w:pStyle w:val="CEPATabletext"/>
              <w:rPr>
                <w:color w:val="auto"/>
              </w:rPr>
            </w:pPr>
            <w:r w:rsidRPr="007023B3">
              <w:rPr>
                <w:rFonts w:cs="Calibri"/>
                <w:color w:val="auto"/>
                <w:szCs w:val="22"/>
              </w:rPr>
              <w:t xml:space="preserve">Deputy Executive Director </w:t>
            </w:r>
          </w:p>
        </w:tc>
      </w:tr>
      <w:tr w:rsidR="00D97E3B" w:rsidRPr="00A11B68" w14:paraId="7722E2B9" w14:textId="77777777" w:rsidTr="00873066">
        <w:trPr>
          <w:trHeight w:val="186"/>
        </w:trPr>
        <w:tc>
          <w:tcPr>
            <w:tcW w:w="1525" w:type="dxa"/>
            <w:vMerge/>
          </w:tcPr>
          <w:p w14:paraId="0203D96A" w14:textId="77777777" w:rsidR="00D97E3B" w:rsidRPr="007023B3" w:rsidRDefault="00D97E3B" w:rsidP="00873066">
            <w:pPr>
              <w:pStyle w:val="CEPATabletext"/>
              <w:rPr>
                <w:color w:val="auto"/>
              </w:rPr>
            </w:pPr>
          </w:p>
        </w:tc>
        <w:tc>
          <w:tcPr>
            <w:tcW w:w="1731" w:type="dxa"/>
            <w:vMerge/>
          </w:tcPr>
          <w:p w14:paraId="68B86DE7" w14:textId="77777777" w:rsidR="00D97E3B" w:rsidRPr="007023B3" w:rsidRDefault="00D97E3B" w:rsidP="00873066">
            <w:pPr>
              <w:pStyle w:val="CEPATabletext"/>
              <w:rPr>
                <w:color w:val="auto"/>
              </w:rPr>
            </w:pPr>
          </w:p>
        </w:tc>
        <w:tc>
          <w:tcPr>
            <w:tcW w:w="2268" w:type="dxa"/>
            <w:vAlign w:val="center"/>
          </w:tcPr>
          <w:p w14:paraId="065D322E" w14:textId="77777777" w:rsidR="00D97E3B" w:rsidRPr="007023B3" w:rsidRDefault="00D97E3B" w:rsidP="00873066">
            <w:pPr>
              <w:pStyle w:val="CEPATabletext"/>
              <w:rPr>
                <w:color w:val="auto"/>
              </w:rPr>
            </w:pPr>
            <w:r w:rsidRPr="007023B3">
              <w:rPr>
                <w:rFonts w:cs="Calibri"/>
                <w:color w:val="auto"/>
                <w:szCs w:val="22"/>
              </w:rPr>
              <w:t>Jemmy Dopas</w:t>
            </w:r>
          </w:p>
        </w:tc>
        <w:tc>
          <w:tcPr>
            <w:tcW w:w="3492" w:type="dxa"/>
            <w:vAlign w:val="center"/>
          </w:tcPr>
          <w:p w14:paraId="405AD179" w14:textId="77777777" w:rsidR="00D97E3B" w:rsidRPr="007023B3" w:rsidRDefault="00D97E3B" w:rsidP="00873066">
            <w:pPr>
              <w:pStyle w:val="CEPATabletext"/>
              <w:rPr>
                <w:color w:val="auto"/>
              </w:rPr>
            </w:pPr>
            <w:r w:rsidRPr="007023B3">
              <w:rPr>
                <w:rFonts w:cs="Calibri"/>
                <w:color w:val="auto"/>
                <w:szCs w:val="22"/>
              </w:rPr>
              <w:t>Finance Manager</w:t>
            </w:r>
          </w:p>
        </w:tc>
      </w:tr>
      <w:tr w:rsidR="00D97E3B" w:rsidRPr="00A11B68" w14:paraId="6D3C6EA5" w14:textId="77777777" w:rsidTr="00873066">
        <w:trPr>
          <w:trHeight w:val="186"/>
        </w:trPr>
        <w:tc>
          <w:tcPr>
            <w:tcW w:w="1525" w:type="dxa"/>
            <w:vMerge/>
          </w:tcPr>
          <w:p w14:paraId="1060D643" w14:textId="77777777" w:rsidR="00D97E3B" w:rsidRPr="007023B3" w:rsidRDefault="00D97E3B" w:rsidP="00873066">
            <w:pPr>
              <w:pStyle w:val="CEPATabletext"/>
              <w:rPr>
                <w:color w:val="auto"/>
              </w:rPr>
            </w:pPr>
          </w:p>
        </w:tc>
        <w:tc>
          <w:tcPr>
            <w:tcW w:w="1731" w:type="dxa"/>
            <w:vMerge/>
          </w:tcPr>
          <w:p w14:paraId="6E086FF9" w14:textId="77777777" w:rsidR="00D97E3B" w:rsidRPr="007023B3" w:rsidRDefault="00D97E3B" w:rsidP="00873066">
            <w:pPr>
              <w:pStyle w:val="CEPATabletext"/>
              <w:rPr>
                <w:color w:val="auto"/>
              </w:rPr>
            </w:pPr>
          </w:p>
        </w:tc>
        <w:tc>
          <w:tcPr>
            <w:tcW w:w="2268" w:type="dxa"/>
            <w:vAlign w:val="center"/>
          </w:tcPr>
          <w:p w14:paraId="54BCA708" w14:textId="77777777" w:rsidR="00D97E3B" w:rsidRPr="007023B3" w:rsidRDefault="00D97E3B" w:rsidP="00873066">
            <w:pPr>
              <w:pStyle w:val="CEPATabletext"/>
              <w:rPr>
                <w:color w:val="auto"/>
              </w:rPr>
            </w:pPr>
            <w:r w:rsidRPr="007023B3">
              <w:rPr>
                <w:rFonts w:cs="Calibri"/>
                <w:color w:val="auto"/>
                <w:szCs w:val="22"/>
              </w:rPr>
              <w:t xml:space="preserve">Vincent Bretin </w:t>
            </w:r>
          </w:p>
        </w:tc>
        <w:tc>
          <w:tcPr>
            <w:tcW w:w="3492" w:type="dxa"/>
            <w:vAlign w:val="center"/>
          </w:tcPr>
          <w:p w14:paraId="6460B63F" w14:textId="77777777" w:rsidR="00D97E3B" w:rsidRPr="007023B3" w:rsidRDefault="00D97E3B" w:rsidP="00873066">
            <w:pPr>
              <w:pStyle w:val="CEPATabletext"/>
              <w:rPr>
                <w:color w:val="auto"/>
              </w:rPr>
            </w:pPr>
            <w:r w:rsidRPr="007023B3">
              <w:rPr>
                <w:rFonts w:cs="Calibri"/>
                <w:color w:val="auto"/>
                <w:szCs w:val="22"/>
              </w:rPr>
              <w:t>Team Lead, Results</w:t>
            </w:r>
          </w:p>
        </w:tc>
      </w:tr>
      <w:tr w:rsidR="00D97E3B" w:rsidRPr="00A11B68" w14:paraId="1E7884A7" w14:textId="77777777" w:rsidTr="00873066">
        <w:trPr>
          <w:trHeight w:val="186"/>
        </w:trPr>
        <w:tc>
          <w:tcPr>
            <w:tcW w:w="1525" w:type="dxa"/>
            <w:vMerge/>
          </w:tcPr>
          <w:p w14:paraId="426D8F07" w14:textId="77777777" w:rsidR="00D97E3B" w:rsidRPr="007023B3" w:rsidRDefault="00D97E3B" w:rsidP="00873066">
            <w:pPr>
              <w:pStyle w:val="CEPATabletext"/>
              <w:rPr>
                <w:color w:val="auto"/>
              </w:rPr>
            </w:pPr>
          </w:p>
        </w:tc>
        <w:tc>
          <w:tcPr>
            <w:tcW w:w="1731" w:type="dxa"/>
            <w:vMerge/>
          </w:tcPr>
          <w:p w14:paraId="0014C65B" w14:textId="77777777" w:rsidR="00D97E3B" w:rsidRPr="007023B3" w:rsidRDefault="00D97E3B" w:rsidP="00873066">
            <w:pPr>
              <w:pStyle w:val="CEPATabletext"/>
              <w:rPr>
                <w:color w:val="auto"/>
              </w:rPr>
            </w:pPr>
          </w:p>
        </w:tc>
        <w:tc>
          <w:tcPr>
            <w:tcW w:w="2268" w:type="dxa"/>
            <w:vAlign w:val="center"/>
          </w:tcPr>
          <w:p w14:paraId="380A371F" w14:textId="77777777" w:rsidR="00D97E3B" w:rsidRPr="007023B3" w:rsidRDefault="00D97E3B" w:rsidP="00873066">
            <w:pPr>
              <w:pStyle w:val="CEPATabletext"/>
              <w:rPr>
                <w:color w:val="auto"/>
              </w:rPr>
            </w:pPr>
            <w:r w:rsidRPr="007023B3">
              <w:rPr>
                <w:rFonts w:cs="Calibri"/>
                <w:color w:val="auto"/>
                <w:szCs w:val="22"/>
              </w:rPr>
              <w:t>Gauri Khanna</w:t>
            </w:r>
          </w:p>
        </w:tc>
        <w:tc>
          <w:tcPr>
            <w:tcW w:w="3492" w:type="dxa"/>
            <w:vAlign w:val="center"/>
          </w:tcPr>
          <w:p w14:paraId="7AF18497" w14:textId="77777777" w:rsidR="00D97E3B" w:rsidRPr="007023B3" w:rsidRDefault="00D97E3B" w:rsidP="00873066">
            <w:pPr>
              <w:pStyle w:val="CEPATabletext"/>
              <w:rPr>
                <w:color w:val="auto"/>
              </w:rPr>
            </w:pPr>
            <w:r w:rsidRPr="007023B3">
              <w:rPr>
                <w:rFonts w:cs="Calibri"/>
                <w:color w:val="auto"/>
                <w:szCs w:val="22"/>
              </w:rPr>
              <w:t>M&amp;E Manager</w:t>
            </w:r>
          </w:p>
        </w:tc>
      </w:tr>
      <w:tr w:rsidR="00D73133" w:rsidRPr="00A11B68" w14:paraId="2706CEC7" w14:textId="77777777" w:rsidTr="00873066">
        <w:tc>
          <w:tcPr>
            <w:tcW w:w="1525" w:type="dxa"/>
            <w:vMerge w:val="restart"/>
          </w:tcPr>
          <w:p w14:paraId="1085AE72" w14:textId="77777777" w:rsidR="00D73133" w:rsidRPr="007023B3" w:rsidRDefault="00D73133" w:rsidP="00873066">
            <w:pPr>
              <w:pStyle w:val="CEPATabletext"/>
              <w:rPr>
                <w:color w:val="auto"/>
              </w:rPr>
            </w:pPr>
            <w:r w:rsidRPr="007023B3">
              <w:rPr>
                <w:color w:val="auto"/>
              </w:rPr>
              <w:t>Project Grantee</w:t>
            </w:r>
          </w:p>
        </w:tc>
        <w:tc>
          <w:tcPr>
            <w:tcW w:w="1731" w:type="dxa"/>
            <w:vMerge w:val="restart"/>
          </w:tcPr>
          <w:p w14:paraId="73821298" w14:textId="77777777" w:rsidR="00D73133" w:rsidRPr="007023B3" w:rsidRDefault="00D73133" w:rsidP="00873066">
            <w:pPr>
              <w:pStyle w:val="CEPATabletext"/>
              <w:rPr>
                <w:color w:val="auto"/>
              </w:rPr>
            </w:pPr>
            <w:r w:rsidRPr="007023B3">
              <w:rPr>
                <w:color w:val="auto"/>
              </w:rPr>
              <w:t>MSF</w:t>
            </w:r>
          </w:p>
          <w:p w14:paraId="6010407C" w14:textId="77777777" w:rsidR="00D73133" w:rsidRPr="007023B3" w:rsidRDefault="00D73133" w:rsidP="00873066">
            <w:pPr>
              <w:pStyle w:val="CEPATabletext"/>
              <w:rPr>
                <w:color w:val="auto"/>
              </w:rPr>
            </w:pPr>
          </w:p>
        </w:tc>
        <w:tc>
          <w:tcPr>
            <w:tcW w:w="2268" w:type="dxa"/>
            <w:vAlign w:val="center"/>
          </w:tcPr>
          <w:p w14:paraId="6A86CB35" w14:textId="77777777" w:rsidR="00D73133" w:rsidRPr="007023B3" w:rsidRDefault="00D73133" w:rsidP="00873066">
            <w:pPr>
              <w:pStyle w:val="CEPATabletext"/>
              <w:rPr>
                <w:color w:val="auto"/>
              </w:rPr>
            </w:pPr>
            <w:r w:rsidRPr="007023B3">
              <w:rPr>
                <w:rFonts w:cs="Calibri"/>
                <w:color w:val="auto"/>
                <w:szCs w:val="22"/>
              </w:rPr>
              <w:t>Stephan Grosserueschkamp</w:t>
            </w:r>
          </w:p>
        </w:tc>
        <w:tc>
          <w:tcPr>
            <w:tcW w:w="3492" w:type="dxa"/>
            <w:vAlign w:val="center"/>
          </w:tcPr>
          <w:p w14:paraId="502E9B40" w14:textId="77777777" w:rsidR="00D73133" w:rsidRPr="007023B3" w:rsidRDefault="00D73133" w:rsidP="00873066">
            <w:pPr>
              <w:pStyle w:val="CEPATabletext"/>
              <w:rPr>
                <w:color w:val="auto"/>
              </w:rPr>
            </w:pPr>
            <w:r w:rsidRPr="007023B3">
              <w:rPr>
                <w:rFonts w:cs="Calibri"/>
                <w:color w:val="auto"/>
                <w:szCs w:val="22"/>
              </w:rPr>
              <w:t>Grant Manager (from January 2017 to October 2017)</w:t>
            </w:r>
          </w:p>
        </w:tc>
      </w:tr>
      <w:tr w:rsidR="00D73133" w:rsidRPr="00A11B68" w14:paraId="4899E7F6" w14:textId="77777777" w:rsidTr="00873066">
        <w:tc>
          <w:tcPr>
            <w:tcW w:w="1525" w:type="dxa"/>
            <w:vMerge/>
          </w:tcPr>
          <w:p w14:paraId="4B376AAE" w14:textId="77777777" w:rsidR="00D73133" w:rsidRPr="007023B3" w:rsidRDefault="00D73133" w:rsidP="00873066">
            <w:pPr>
              <w:pStyle w:val="CEPATabletext"/>
              <w:rPr>
                <w:color w:val="auto"/>
              </w:rPr>
            </w:pPr>
          </w:p>
        </w:tc>
        <w:tc>
          <w:tcPr>
            <w:tcW w:w="1731" w:type="dxa"/>
            <w:vMerge/>
          </w:tcPr>
          <w:p w14:paraId="28046C81" w14:textId="77777777" w:rsidR="00D73133" w:rsidRPr="007023B3" w:rsidRDefault="00D73133" w:rsidP="00873066">
            <w:pPr>
              <w:pStyle w:val="CEPATabletext"/>
              <w:rPr>
                <w:color w:val="auto"/>
              </w:rPr>
            </w:pPr>
          </w:p>
        </w:tc>
        <w:tc>
          <w:tcPr>
            <w:tcW w:w="2268" w:type="dxa"/>
            <w:vAlign w:val="center"/>
          </w:tcPr>
          <w:p w14:paraId="4CC35BCB" w14:textId="77777777" w:rsidR="00D73133" w:rsidRPr="007023B3" w:rsidRDefault="00D73133" w:rsidP="00873066">
            <w:pPr>
              <w:pStyle w:val="CEPATabletext"/>
              <w:rPr>
                <w:color w:val="auto"/>
              </w:rPr>
            </w:pPr>
            <w:r w:rsidRPr="007023B3">
              <w:rPr>
                <w:rFonts w:cs="Calibri"/>
                <w:color w:val="auto"/>
                <w:szCs w:val="22"/>
              </w:rPr>
              <w:t>Mikhael de Souza</w:t>
            </w:r>
          </w:p>
        </w:tc>
        <w:tc>
          <w:tcPr>
            <w:tcW w:w="3492" w:type="dxa"/>
            <w:vAlign w:val="center"/>
          </w:tcPr>
          <w:p w14:paraId="7DA546CB" w14:textId="77777777" w:rsidR="00D73133" w:rsidRPr="007023B3" w:rsidRDefault="00D73133" w:rsidP="00873066">
            <w:pPr>
              <w:pStyle w:val="CEPATabletext"/>
              <w:rPr>
                <w:color w:val="auto"/>
              </w:rPr>
            </w:pPr>
            <w:r w:rsidRPr="007023B3">
              <w:rPr>
                <w:rFonts w:cs="Calibri"/>
                <w:color w:val="auto"/>
                <w:szCs w:val="22"/>
              </w:rPr>
              <w:t>Grant Manager (2013-2016)</w:t>
            </w:r>
          </w:p>
        </w:tc>
      </w:tr>
      <w:tr w:rsidR="00D73133" w:rsidRPr="00A11B68" w14:paraId="55F7BD36" w14:textId="77777777" w:rsidTr="00873066">
        <w:tc>
          <w:tcPr>
            <w:tcW w:w="1525" w:type="dxa"/>
            <w:vMerge/>
          </w:tcPr>
          <w:p w14:paraId="536498EA" w14:textId="77777777" w:rsidR="00D73133" w:rsidRPr="007023B3" w:rsidRDefault="00D73133" w:rsidP="00873066">
            <w:pPr>
              <w:pStyle w:val="CEPATabletext"/>
              <w:rPr>
                <w:color w:val="auto"/>
              </w:rPr>
            </w:pPr>
          </w:p>
        </w:tc>
        <w:tc>
          <w:tcPr>
            <w:tcW w:w="1731" w:type="dxa"/>
            <w:vMerge/>
          </w:tcPr>
          <w:p w14:paraId="554B2CF6" w14:textId="77777777" w:rsidR="00D73133" w:rsidRPr="007023B3" w:rsidRDefault="00D73133" w:rsidP="00873066">
            <w:pPr>
              <w:pStyle w:val="CEPATabletext"/>
              <w:rPr>
                <w:color w:val="auto"/>
              </w:rPr>
            </w:pPr>
          </w:p>
        </w:tc>
        <w:tc>
          <w:tcPr>
            <w:tcW w:w="2268" w:type="dxa"/>
            <w:vAlign w:val="center"/>
          </w:tcPr>
          <w:p w14:paraId="4008BF0C" w14:textId="77777777" w:rsidR="00D73133" w:rsidRPr="007023B3" w:rsidRDefault="00D73133" w:rsidP="00873066">
            <w:pPr>
              <w:pStyle w:val="CEPATabletext"/>
              <w:rPr>
                <w:color w:val="auto"/>
              </w:rPr>
            </w:pPr>
            <w:r w:rsidRPr="007023B3">
              <w:rPr>
                <w:rFonts w:cs="Calibri"/>
                <w:color w:val="auto"/>
                <w:szCs w:val="22"/>
              </w:rPr>
              <w:t>Camille Baillat</w:t>
            </w:r>
          </w:p>
        </w:tc>
        <w:tc>
          <w:tcPr>
            <w:tcW w:w="3492" w:type="dxa"/>
            <w:vAlign w:val="center"/>
          </w:tcPr>
          <w:p w14:paraId="2A95F57E" w14:textId="77777777" w:rsidR="00D73133" w:rsidRPr="007023B3" w:rsidRDefault="00D73133" w:rsidP="00873066">
            <w:pPr>
              <w:pStyle w:val="CEPATabletext"/>
              <w:rPr>
                <w:color w:val="auto"/>
              </w:rPr>
            </w:pPr>
            <w:r w:rsidRPr="007023B3">
              <w:rPr>
                <w:rFonts w:cs="Calibri"/>
                <w:color w:val="auto"/>
                <w:szCs w:val="22"/>
              </w:rPr>
              <w:t>Grant Finance Manager (from October 2016)</w:t>
            </w:r>
          </w:p>
        </w:tc>
      </w:tr>
      <w:tr w:rsidR="00D73133" w:rsidRPr="00A11B68" w14:paraId="3520F5AE" w14:textId="77777777" w:rsidTr="00873066">
        <w:tc>
          <w:tcPr>
            <w:tcW w:w="1525" w:type="dxa"/>
            <w:vMerge/>
          </w:tcPr>
          <w:p w14:paraId="1C22A3AD" w14:textId="77777777" w:rsidR="00D73133" w:rsidRPr="007023B3" w:rsidRDefault="00D73133" w:rsidP="00873066">
            <w:pPr>
              <w:pStyle w:val="CEPATabletext"/>
              <w:rPr>
                <w:color w:val="auto"/>
              </w:rPr>
            </w:pPr>
          </w:p>
        </w:tc>
        <w:tc>
          <w:tcPr>
            <w:tcW w:w="1731" w:type="dxa"/>
            <w:vMerge/>
          </w:tcPr>
          <w:p w14:paraId="77EDDC44" w14:textId="77777777" w:rsidR="00D73133" w:rsidRPr="007023B3" w:rsidRDefault="00D73133" w:rsidP="00873066">
            <w:pPr>
              <w:pStyle w:val="CEPATabletext"/>
              <w:rPr>
                <w:color w:val="auto"/>
              </w:rPr>
            </w:pPr>
          </w:p>
        </w:tc>
        <w:tc>
          <w:tcPr>
            <w:tcW w:w="2268" w:type="dxa"/>
            <w:vAlign w:val="center"/>
          </w:tcPr>
          <w:p w14:paraId="7B281449" w14:textId="77777777" w:rsidR="00D73133" w:rsidRPr="007023B3" w:rsidRDefault="00D73133" w:rsidP="00873066">
            <w:pPr>
              <w:pStyle w:val="CEPATabletext"/>
              <w:rPr>
                <w:color w:val="auto"/>
              </w:rPr>
            </w:pPr>
            <w:r w:rsidRPr="007023B3">
              <w:rPr>
                <w:rFonts w:cs="Calibri"/>
                <w:color w:val="auto"/>
                <w:szCs w:val="22"/>
              </w:rPr>
              <w:t>Teri Roberts</w:t>
            </w:r>
          </w:p>
        </w:tc>
        <w:tc>
          <w:tcPr>
            <w:tcW w:w="3492" w:type="dxa"/>
            <w:vAlign w:val="center"/>
          </w:tcPr>
          <w:p w14:paraId="4B9F30D3" w14:textId="77777777" w:rsidR="00D73133" w:rsidRPr="007023B3" w:rsidRDefault="00D73133" w:rsidP="00873066">
            <w:pPr>
              <w:pStyle w:val="CEPATabletext"/>
              <w:rPr>
                <w:color w:val="auto"/>
              </w:rPr>
            </w:pPr>
            <w:r w:rsidRPr="007023B3">
              <w:rPr>
                <w:rFonts w:cs="Calibri"/>
                <w:color w:val="auto"/>
                <w:szCs w:val="22"/>
              </w:rPr>
              <w:t>Diagnostic Advisor</w:t>
            </w:r>
          </w:p>
        </w:tc>
      </w:tr>
      <w:tr w:rsidR="00D73133" w:rsidRPr="00A11B68" w14:paraId="0181B931" w14:textId="77777777" w:rsidTr="00873066">
        <w:trPr>
          <w:trHeight w:val="341"/>
        </w:trPr>
        <w:tc>
          <w:tcPr>
            <w:tcW w:w="1525" w:type="dxa"/>
            <w:vMerge/>
          </w:tcPr>
          <w:p w14:paraId="4C7DE4AF" w14:textId="77777777" w:rsidR="00D73133" w:rsidRPr="007023B3" w:rsidRDefault="00D73133" w:rsidP="00873066">
            <w:pPr>
              <w:pStyle w:val="CEPATabletext"/>
              <w:rPr>
                <w:color w:val="auto"/>
              </w:rPr>
            </w:pPr>
          </w:p>
        </w:tc>
        <w:tc>
          <w:tcPr>
            <w:tcW w:w="1731" w:type="dxa"/>
          </w:tcPr>
          <w:p w14:paraId="14BAEA90" w14:textId="77777777" w:rsidR="00D73133" w:rsidRPr="007023B3" w:rsidRDefault="00D73133" w:rsidP="00873066">
            <w:pPr>
              <w:pStyle w:val="CEPATabletext"/>
              <w:jc w:val="left"/>
              <w:rPr>
                <w:color w:val="auto"/>
              </w:rPr>
            </w:pPr>
            <w:r w:rsidRPr="007023B3">
              <w:rPr>
                <w:rFonts w:cs="Calibri"/>
                <w:color w:val="auto"/>
                <w:szCs w:val="22"/>
              </w:rPr>
              <w:t>MSF-Belgium</w:t>
            </w:r>
          </w:p>
        </w:tc>
        <w:tc>
          <w:tcPr>
            <w:tcW w:w="2268" w:type="dxa"/>
            <w:vAlign w:val="center"/>
          </w:tcPr>
          <w:p w14:paraId="61C559BF" w14:textId="77777777" w:rsidR="00D73133" w:rsidRPr="007023B3" w:rsidRDefault="00D73133" w:rsidP="00873066">
            <w:pPr>
              <w:pStyle w:val="CEPATabletext"/>
              <w:rPr>
                <w:color w:val="auto"/>
              </w:rPr>
            </w:pPr>
            <w:r w:rsidRPr="007023B3">
              <w:rPr>
                <w:rFonts w:cs="Calibri"/>
                <w:color w:val="auto"/>
                <w:szCs w:val="22"/>
              </w:rPr>
              <w:t>Marc Biot</w:t>
            </w:r>
          </w:p>
        </w:tc>
        <w:tc>
          <w:tcPr>
            <w:tcW w:w="3492" w:type="dxa"/>
            <w:vAlign w:val="center"/>
          </w:tcPr>
          <w:p w14:paraId="6B10E082" w14:textId="77777777" w:rsidR="00D73133" w:rsidRPr="007023B3" w:rsidRDefault="00D73133" w:rsidP="00873066">
            <w:pPr>
              <w:pStyle w:val="CEPATabletext"/>
              <w:rPr>
                <w:color w:val="auto"/>
              </w:rPr>
            </w:pPr>
            <w:r w:rsidRPr="007023B3">
              <w:rPr>
                <w:rFonts w:cs="Calibri"/>
                <w:color w:val="auto"/>
                <w:szCs w:val="22"/>
              </w:rPr>
              <w:t>Program Manager</w:t>
            </w:r>
          </w:p>
        </w:tc>
      </w:tr>
      <w:tr w:rsidR="00D73133" w:rsidRPr="00A11B68" w14:paraId="6946699B" w14:textId="77777777" w:rsidTr="00873066">
        <w:trPr>
          <w:trHeight w:val="341"/>
        </w:trPr>
        <w:tc>
          <w:tcPr>
            <w:tcW w:w="1525" w:type="dxa"/>
            <w:vMerge/>
          </w:tcPr>
          <w:p w14:paraId="68AA37E2" w14:textId="77777777" w:rsidR="00D73133" w:rsidRPr="007023B3" w:rsidRDefault="00D73133" w:rsidP="00873066">
            <w:pPr>
              <w:pStyle w:val="CEPATabletext"/>
              <w:rPr>
                <w:color w:val="auto"/>
              </w:rPr>
            </w:pPr>
          </w:p>
        </w:tc>
        <w:tc>
          <w:tcPr>
            <w:tcW w:w="1731" w:type="dxa"/>
            <w:vAlign w:val="center"/>
          </w:tcPr>
          <w:p w14:paraId="652EC3F3" w14:textId="77777777" w:rsidR="00D73133" w:rsidRPr="007023B3" w:rsidRDefault="00D73133" w:rsidP="00873066">
            <w:pPr>
              <w:pStyle w:val="CEPATabletext"/>
              <w:rPr>
                <w:color w:val="auto"/>
              </w:rPr>
            </w:pPr>
            <w:r w:rsidRPr="007023B3">
              <w:rPr>
                <w:rFonts w:cs="Calibri"/>
                <w:color w:val="auto"/>
                <w:szCs w:val="22"/>
              </w:rPr>
              <w:t>MSF-Switzerland</w:t>
            </w:r>
          </w:p>
        </w:tc>
        <w:tc>
          <w:tcPr>
            <w:tcW w:w="2268" w:type="dxa"/>
            <w:vAlign w:val="center"/>
          </w:tcPr>
          <w:p w14:paraId="4E202754" w14:textId="77777777" w:rsidR="00D73133" w:rsidRPr="007023B3" w:rsidRDefault="00D73133" w:rsidP="00873066">
            <w:pPr>
              <w:pStyle w:val="CEPATabletext"/>
              <w:rPr>
                <w:color w:val="auto"/>
              </w:rPr>
            </w:pPr>
            <w:r w:rsidRPr="007023B3">
              <w:rPr>
                <w:rFonts w:cs="Calibri"/>
                <w:color w:val="auto"/>
                <w:szCs w:val="22"/>
              </w:rPr>
              <w:t>Javier Goiri</w:t>
            </w:r>
          </w:p>
        </w:tc>
        <w:tc>
          <w:tcPr>
            <w:tcW w:w="3492" w:type="dxa"/>
            <w:vAlign w:val="center"/>
          </w:tcPr>
          <w:p w14:paraId="4291AA7E" w14:textId="77777777" w:rsidR="00D73133" w:rsidRPr="007023B3" w:rsidRDefault="00D73133" w:rsidP="00873066">
            <w:pPr>
              <w:pStyle w:val="CEPATabletext"/>
              <w:rPr>
                <w:color w:val="auto"/>
              </w:rPr>
            </w:pPr>
            <w:r w:rsidRPr="007023B3">
              <w:rPr>
                <w:rFonts w:cs="Calibri"/>
                <w:color w:val="auto"/>
                <w:szCs w:val="22"/>
              </w:rPr>
              <w:t>Deputy Program Manager</w:t>
            </w:r>
          </w:p>
        </w:tc>
      </w:tr>
      <w:tr w:rsidR="00D73133" w:rsidRPr="00A11B68" w14:paraId="52EBC355" w14:textId="77777777" w:rsidTr="00873066">
        <w:trPr>
          <w:trHeight w:val="341"/>
        </w:trPr>
        <w:tc>
          <w:tcPr>
            <w:tcW w:w="1525" w:type="dxa"/>
            <w:vMerge/>
          </w:tcPr>
          <w:p w14:paraId="4D4E443D" w14:textId="77777777" w:rsidR="00D73133" w:rsidRPr="007023B3" w:rsidRDefault="00D73133" w:rsidP="00873066">
            <w:pPr>
              <w:pStyle w:val="CEPATabletext"/>
              <w:rPr>
                <w:color w:val="auto"/>
              </w:rPr>
            </w:pPr>
          </w:p>
        </w:tc>
        <w:tc>
          <w:tcPr>
            <w:tcW w:w="1731" w:type="dxa"/>
            <w:vAlign w:val="center"/>
          </w:tcPr>
          <w:p w14:paraId="4E9CA556" w14:textId="77777777" w:rsidR="00D73133" w:rsidRPr="007023B3" w:rsidRDefault="00D73133" w:rsidP="00873066">
            <w:pPr>
              <w:pStyle w:val="CEPATabletext"/>
              <w:rPr>
                <w:color w:val="auto"/>
              </w:rPr>
            </w:pPr>
            <w:r w:rsidRPr="007023B3">
              <w:rPr>
                <w:rFonts w:cs="Calibri"/>
                <w:color w:val="auto"/>
                <w:szCs w:val="22"/>
              </w:rPr>
              <w:t>MSF-S</w:t>
            </w:r>
            <w:r>
              <w:rPr>
                <w:rFonts w:cs="Calibri"/>
                <w:color w:val="auto"/>
                <w:szCs w:val="22"/>
              </w:rPr>
              <w:t>outhern African Medical Unit (SAMU)</w:t>
            </w:r>
          </w:p>
        </w:tc>
        <w:tc>
          <w:tcPr>
            <w:tcW w:w="2268" w:type="dxa"/>
            <w:vAlign w:val="center"/>
          </w:tcPr>
          <w:p w14:paraId="6A7FB187" w14:textId="77777777" w:rsidR="00D73133" w:rsidRPr="007023B3" w:rsidRDefault="00D73133" w:rsidP="00873066">
            <w:pPr>
              <w:pStyle w:val="CEPATabletext"/>
              <w:rPr>
                <w:color w:val="auto"/>
              </w:rPr>
            </w:pPr>
            <w:r w:rsidRPr="007023B3">
              <w:rPr>
                <w:rFonts w:cs="Calibri"/>
                <w:color w:val="auto"/>
                <w:szCs w:val="22"/>
              </w:rPr>
              <w:t>Tom Ellman</w:t>
            </w:r>
          </w:p>
        </w:tc>
        <w:tc>
          <w:tcPr>
            <w:tcW w:w="3492" w:type="dxa"/>
            <w:vAlign w:val="center"/>
          </w:tcPr>
          <w:p w14:paraId="3FCA675A" w14:textId="77777777" w:rsidR="00D73133" w:rsidRPr="007023B3" w:rsidRDefault="00D73133" w:rsidP="00873066">
            <w:pPr>
              <w:pStyle w:val="CEPATabletext"/>
              <w:rPr>
                <w:color w:val="auto"/>
              </w:rPr>
            </w:pPr>
            <w:r w:rsidRPr="007023B3">
              <w:rPr>
                <w:rFonts w:cs="Calibri"/>
                <w:color w:val="auto"/>
                <w:szCs w:val="22"/>
              </w:rPr>
              <w:t>Director</w:t>
            </w:r>
          </w:p>
        </w:tc>
      </w:tr>
      <w:tr w:rsidR="00D73133" w:rsidRPr="00A11B68" w14:paraId="16784AA7" w14:textId="77777777" w:rsidTr="00873066">
        <w:trPr>
          <w:trHeight w:val="341"/>
        </w:trPr>
        <w:tc>
          <w:tcPr>
            <w:tcW w:w="1525" w:type="dxa"/>
            <w:vMerge/>
          </w:tcPr>
          <w:p w14:paraId="4249D86E" w14:textId="77777777" w:rsidR="00D73133" w:rsidRPr="007023B3" w:rsidRDefault="00D73133" w:rsidP="00873066">
            <w:pPr>
              <w:pStyle w:val="CEPATabletext"/>
            </w:pPr>
          </w:p>
        </w:tc>
        <w:tc>
          <w:tcPr>
            <w:tcW w:w="1731" w:type="dxa"/>
            <w:vAlign w:val="center"/>
          </w:tcPr>
          <w:p w14:paraId="2600D478" w14:textId="23DA4622" w:rsidR="00D73133" w:rsidRPr="00CC06E7" w:rsidRDefault="00D73133" w:rsidP="00873066">
            <w:pPr>
              <w:pStyle w:val="CEPATabletext"/>
              <w:rPr>
                <w:rFonts w:cs="Calibri"/>
                <w:color w:val="auto"/>
                <w:szCs w:val="22"/>
              </w:rPr>
            </w:pPr>
            <w:r w:rsidRPr="00CC06E7">
              <w:rPr>
                <w:rFonts w:cs="Calibri"/>
                <w:color w:val="auto"/>
                <w:szCs w:val="22"/>
              </w:rPr>
              <w:t>MSF-Supply</w:t>
            </w:r>
          </w:p>
        </w:tc>
        <w:tc>
          <w:tcPr>
            <w:tcW w:w="2268" w:type="dxa"/>
            <w:vAlign w:val="center"/>
          </w:tcPr>
          <w:p w14:paraId="08E3D7A3" w14:textId="4D6B71EF" w:rsidR="00D73133" w:rsidRPr="00CC06E7" w:rsidRDefault="00D73133" w:rsidP="00873066">
            <w:pPr>
              <w:pStyle w:val="CEPATabletext"/>
              <w:rPr>
                <w:rFonts w:cs="Calibri"/>
                <w:color w:val="auto"/>
                <w:szCs w:val="22"/>
              </w:rPr>
            </w:pPr>
            <w:r w:rsidRPr="00CC06E7">
              <w:rPr>
                <w:rFonts w:cs="Calibri"/>
                <w:color w:val="auto"/>
                <w:szCs w:val="22"/>
              </w:rPr>
              <w:t>Eric Morel</w:t>
            </w:r>
          </w:p>
        </w:tc>
        <w:tc>
          <w:tcPr>
            <w:tcW w:w="3492" w:type="dxa"/>
            <w:vAlign w:val="center"/>
          </w:tcPr>
          <w:p w14:paraId="27D44C1A" w14:textId="175BDCDF" w:rsidR="00D73133" w:rsidRPr="00CC06E7" w:rsidRDefault="00D73133" w:rsidP="00873066">
            <w:pPr>
              <w:pStyle w:val="CEPATabletext"/>
              <w:rPr>
                <w:rFonts w:cs="Calibri"/>
                <w:color w:val="auto"/>
                <w:szCs w:val="22"/>
              </w:rPr>
            </w:pPr>
            <w:r w:rsidRPr="00CC06E7">
              <w:rPr>
                <w:rFonts w:cs="Calibri"/>
                <w:color w:val="auto"/>
                <w:szCs w:val="22"/>
              </w:rPr>
              <w:t>Field Procurement Expert</w:t>
            </w:r>
          </w:p>
        </w:tc>
      </w:tr>
      <w:tr w:rsidR="00D97E3B" w:rsidRPr="00A11B68" w14:paraId="14374256" w14:textId="77777777" w:rsidTr="00873066">
        <w:tc>
          <w:tcPr>
            <w:tcW w:w="1525" w:type="dxa"/>
            <w:vMerge w:val="restart"/>
          </w:tcPr>
          <w:p w14:paraId="39B17357" w14:textId="77777777" w:rsidR="00D97E3B" w:rsidRPr="007023B3" w:rsidRDefault="00D97E3B" w:rsidP="00873066">
            <w:pPr>
              <w:pStyle w:val="CEPATabletext"/>
              <w:rPr>
                <w:color w:val="auto"/>
              </w:rPr>
            </w:pPr>
            <w:r w:rsidRPr="007023B3">
              <w:rPr>
                <w:color w:val="auto"/>
              </w:rPr>
              <w:t>Global Partners</w:t>
            </w:r>
          </w:p>
          <w:p w14:paraId="67A293D0" w14:textId="77777777" w:rsidR="00D97E3B" w:rsidRPr="007023B3" w:rsidRDefault="00D97E3B" w:rsidP="00873066">
            <w:pPr>
              <w:pStyle w:val="CEPATabletext"/>
              <w:rPr>
                <w:color w:val="auto"/>
              </w:rPr>
            </w:pPr>
          </w:p>
        </w:tc>
        <w:tc>
          <w:tcPr>
            <w:tcW w:w="1731" w:type="dxa"/>
            <w:vMerge w:val="restart"/>
          </w:tcPr>
          <w:p w14:paraId="630D9024" w14:textId="77777777" w:rsidR="00D97E3B" w:rsidRPr="007023B3" w:rsidRDefault="00D97E3B" w:rsidP="00873066">
            <w:pPr>
              <w:pStyle w:val="CEPATabletext"/>
              <w:jc w:val="left"/>
              <w:rPr>
                <w:color w:val="auto"/>
              </w:rPr>
            </w:pPr>
            <w:r w:rsidRPr="007023B3">
              <w:rPr>
                <w:rFonts w:cs="Calibri"/>
                <w:color w:val="auto"/>
                <w:szCs w:val="22"/>
              </w:rPr>
              <w:t>WHO</w:t>
            </w:r>
          </w:p>
        </w:tc>
        <w:tc>
          <w:tcPr>
            <w:tcW w:w="2268" w:type="dxa"/>
            <w:vAlign w:val="center"/>
          </w:tcPr>
          <w:p w14:paraId="1A5F9F67" w14:textId="77777777" w:rsidR="00D97E3B" w:rsidRPr="007023B3" w:rsidRDefault="00D97E3B" w:rsidP="00873066">
            <w:pPr>
              <w:pStyle w:val="CEPATabletext"/>
              <w:rPr>
                <w:color w:val="auto"/>
              </w:rPr>
            </w:pPr>
            <w:r w:rsidRPr="007023B3">
              <w:rPr>
                <w:rFonts w:cs="Calibri"/>
                <w:color w:val="auto"/>
                <w:szCs w:val="22"/>
              </w:rPr>
              <w:t>Lara Vojnov</w:t>
            </w:r>
          </w:p>
        </w:tc>
        <w:tc>
          <w:tcPr>
            <w:tcW w:w="3492" w:type="dxa"/>
            <w:vAlign w:val="center"/>
          </w:tcPr>
          <w:p w14:paraId="61730297" w14:textId="77777777" w:rsidR="00D97E3B" w:rsidRPr="007023B3" w:rsidRDefault="00D97E3B" w:rsidP="00873066">
            <w:pPr>
              <w:pStyle w:val="CEPATabletext"/>
              <w:rPr>
                <w:color w:val="auto"/>
              </w:rPr>
            </w:pPr>
            <w:r w:rsidRPr="007023B3">
              <w:rPr>
                <w:rFonts w:cs="Calibri"/>
                <w:color w:val="auto"/>
                <w:szCs w:val="22"/>
              </w:rPr>
              <w:t>HIV Diagnostics Advisor</w:t>
            </w:r>
          </w:p>
        </w:tc>
      </w:tr>
      <w:tr w:rsidR="00D97E3B" w:rsidRPr="00A11B68" w14:paraId="1ADA06D8" w14:textId="77777777" w:rsidTr="00873066">
        <w:tc>
          <w:tcPr>
            <w:tcW w:w="1525" w:type="dxa"/>
            <w:vMerge/>
          </w:tcPr>
          <w:p w14:paraId="26F88ACD" w14:textId="77777777" w:rsidR="00D97E3B" w:rsidRPr="007023B3" w:rsidRDefault="00D97E3B" w:rsidP="00873066">
            <w:pPr>
              <w:pStyle w:val="CEPATabletext"/>
              <w:rPr>
                <w:color w:val="auto"/>
              </w:rPr>
            </w:pPr>
          </w:p>
        </w:tc>
        <w:tc>
          <w:tcPr>
            <w:tcW w:w="1731" w:type="dxa"/>
            <w:vMerge/>
            <w:vAlign w:val="center"/>
          </w:tcPr>
          <w:p w14:paraId="27F19EBC" w14:textId="77777777" w:rsidR="00D97E3B" w:rsidRPr="007023B3" w:rsidRDefault="00D97E3B" w:rsidP="00873066">
            <w:pPr>
              <w:pStyle w:val="CEPATabletext"/>
              <w:rPr>
                <w:color w:val="auto"/>
              </w:rPr>
            </w:pPr>
          </w:p>
        </w:tc>
        <w:tc>
          <w:tcPr>
            <w:tcW w:w="2268" w:type="dxa"/>
            <w:vAlign w:val="center"/>
          </w:tcPr>
          <w:p w14:paraId="7B6357FA" w14:textId="77777777" w:rsidR="00D97E3B" w:rsidRPr="007023B3" w:rsidRDefault="00D97E3B" w:rsidP="00873066">
            <w:pPr>
              <w:pStyle w:val="CEPATabletext"/>
              <w:rPr>
                <w:color w:val="auto"/>
              </w:rPr>
            </w:pPr>
            <w:r w:rsidRPr="007023B3">
              <w:rPr>
                <w:rFonts w:cs="Calibri"/>
                <w:color w:val="auto"/>
                <w:szCs w:val="22"/>
              </w:rPr>
              <w:t>Meg Doherty</w:t>
            </w:r>
          </w:p>
        </w:tc>
        <w:tc>
          <w:tcPr>
            <w:tcW w:w="3492" w:type="dxa"/>
            <w:vAlign w:val="center"/>
          </w:tcPr>
          <w:p w14:paraId="2D330F2D" w14:textId="77777777" w:rsidR="00D97E3B" w:rsidRPr="007023B3" w:rsidRDefault="00D97E3B" w:rsidP="00873066">
            <w:pPr>
              <w:pStyle w:val="CEPATabletext"/>
              <w:rPr>
                <w:color w:val="auto"/>
              </w:rPr>
            </w:pPr>
            <w:r w:rsidRPr="007023B3">
              <w:rPr>
                <w:rFonts w:cs="Calibri"/>
                <w:color w:val="auto"/>
                <w:szCs w:val="22"/>
              </w:rPr>
              <w:t>WHO Coordinator, HIV Treatment and Care</w:t>
            </w:r>
          </w:p>
        </w:tc>
      </w:tr>
      <w:tr w:rsidR="00D97E3B" w:rsidRPr="00A11B68" w14:paraId="3CE467F2" w14:textId="77777777" w:rsidTr="00873066">
        <w:tc>
          <w:tcPr>
            <w:tcW w:w="1525" w:type="dxa"/>
            <w:vMerge/>
          </w:tcPr>
          <w:p w14:paraId="3945499C" w14:textId="77777777" w:rsidR="00D97E3B" w:rsidRPr="007023B3" w:rsidRDefault="00D97E3B" w:rsidP="00873066">
            <w:pPr>
              <w:pStyle w:val="CEPATabletext"/>
              <w:rPr>
                <w:color w:val="auto"/>
              </w:rPr>
            </w:pPr>
          </w:p>
        </w:tc>
        <w:tc>
          <w:tcPr>
            <w:tcW w:w="1731" w:type="dxa"/>
            <w:vAlign w:val="center"/>
          </w:tcPr>
          <w:p w14:paraId="3225C7E7" w14:textId="77777777" w:rsidR="00D97E3B" w:rsidRPr="007023B3" w:rsidRDefault="00D97E3B" w:rsidP="00873066">
            <w:pPr>
              <w:pStyle w:val="CEPATabletext"/>
              <w:rPr>
                <w:color w:val="auto"/>
              </w:rPr>
            </w:pPr>
            <w:r w:rsidRPr="007023B3">
              <w:rPr>
                <w:rFonts w:cs="Calibri"/>
                <w:color w:val="auto"/>
                <w:szCs w:val="22"/>
              </w:rPr>
              <w:t>USAID</w:t>
            </w:r>
          </w:p>
        </w:tc>
        <w:tc>
          <w:tcPr>
            <w:tcW w:w="2268" w:type="dxa"/>
            <w:shd w:val="clear" w:color="auto" w:fill="auto"/>
            <w:vAlign w:val="center"/>
          </w:tcPr>
          <w:p w14:paraId="6E72C7C6" w14:textId="77777777" w:rsidR="00D97E3B" w:rsidRPr="007023B3" w:rsidRDefault="00D97E3B" w:rsidP="00873066">
            <w:pPr>
              <w:pStyle w:val="CEPATabletext"/>
              <w:rPr>
                <w:color w:val="auto"/>
              </w:rPr>
            </w:pPr>
            <w:r w:rsidRPr="007023B3">
              <w:rPr>
                <w:rFonts w:cs="Calibri"/>
                <w:color w:val="auto"/>
                <w:szCs w:val="22"/>
              </w:rPr>
              <w:t>Dianna Edgil</w:t>
            </w:r>
          </w:p>
        </w:tc>
        <w:tc>
          <w:tcPr>
            <w:tcW w:w="3492" w:type="dxa"/>
            <w:shd w:val="clear" w:color="auto" w:fill="auto"/>
            <w:vAlign w:val="center"/>
          </w:tcPr>
          <w:p w14:paraId="4466F57C" w14:textId="77777777" w:rsidR="00D97E3B" w:rsidRPr="007023B3" w:rsidRDefault="00D97E3B" w:rsidP="00873066">
            <w:pPr>
              <w:pStyle w:val="CEPATabletext"/>
              <w:rPr>
                <w:color w:val="auto"/>
              </w:rPr>
            </w:pPr>
            <w:r w:rsidRPr="007023B3">
              <w:rPr>
                <w:rFonts w:cs="Calibri"/>
                <w:color w:val="auto"/>
                <w:szCs w:val="22"/>
              </w:rPr>
              <w:t>Senior Laboratory Adviser</w:t>
            </w:r>
          </w:p>
        </w:tc>
      </w:tr>
      <w:tr w:rsidR="00D97E3B" w:rsidRPr="00A11B68" w14:paraId="33F48A26" w14:textId="77777777" w:rsidTr="00873066">
        <w:tc>
          <w:tcPr>
            <w:tcW w:w="1525" w:type="dxa"/>
            <w:vMerge/>
          </w:tcPr>
          <w:p w14:paraId="217476D9" w14:textId="77777777" w:rsidR="00D97E3B" w:rsidRPr="007023B3" w:rsidRDefault="00D97E3B" w:rsidP="00873066">
            <w:pPr>
              <w:pStyle w:val="CEPATabletext"/>
              <w:rPr>
                <w:color w:val="auto"/>
              </w:rPr>
            </w:pPr>
          </w:p>
        </w:tc>
        <w:tc>
          <w:tcPr>
            <w:tcW w:w="1731" w:type="dxa"/>
            <w:vMerge w:val="restart"/>
          </w:tcPr>
          <w:p w14:paraId="0C0024B3" w14:textId="77777777" w:rsidR="00D97E3B" w:rsidRPr="007023B3" w:rsidRDefault="00D97E3B" w:rsidP="00873066">
            <w:pPr>
              <w:pStyle w:val="CEPATabletext"/>
              <w:jc w:val="left"/>
              <w:rPr>
                <w:color w:val="auto"/>
              </w:rPr>
            </w:pPr>
            <w:r w:rsidRPr="007023B3">
              <w:rPr>
                <w:rFonts w:cs="Calibri"/>
                <w:color w:val="auto"/>
                <w:szCs w:val="22"/>
              </w:rPr>
              <w:t>CHAI</w:t>
            </w:r>
          </w:p>
        </w:tc>
        <w:tc>
          <w:tcPr>
            <w:tcW w:w="2268" w:type="dxa"/>
            <w:vAlign w:val="center"/>
          </w:tcPr>
          <w:p w14:paraId="7C8C8D8A" w14:textId="77777777" w:rsidR="00D97E3B" w:rsidRPr="007023B3" w:rsidRDefault="00D97E3B" w:rsidP="00873066">
            <w:pPr>
              <w:pStyle w:val="CEPATabletext"/>
              <w:rPr>
                <w:color w:val="auto"/>
              </w:rPr>
            </w:pPr>
            <w:r w:rsidRPr="007023B3">
              <w:rPr>
                <w:rFonts w:cs="Calibri"/>
                <w:color w:val="auto"/>
                <w:szCs w:val="22"/>
              </w:rPr>
              <w:t>Trevor Peter</w:t>
            </w:r>
          </w:p>
        </w:tc>
        <w:tc>
          <w:tcPr>
            <w:tcW w:w="3492" w:type="dxa"/>
            <w:vAlign w:val="center"/>
          </w:tcPr>
          <w:p w14:paraId="371ECEE9" w14:textId="77777777" w:rsidR="00D97E3B" w:rsidRPr="007023B3" w:rsidRDefault="00D97E3B" w:rsidP="00873066">
            <w:pPr>
              <w:pStyle w:val="CEPATabletext"/>
              <w:rPr>
                <w:color w:val="auto"/>
              </w:rPr>
            </w:pPr>
            <w:r w:rsidRPr="007023B3">
              <w:rPr>
                <w:rFonts w:cs="Calibri"/>
                <w:color w:val="auto"/>
                <w:szCs w:val="22"/>
              </w:rPr>
              <w:t>Head of CHAI Laboratory Team</w:t>
            </w:r>
          </w:p>
        </w:tc>
      </w:tr>
      <w:tr w:rsidR="00D97E3B" w:rsidRPr="00A11B68" w14:paraId="6D7ACFF0" w14:textId="77777777" w:rsidTr="00873066">
        <w:tc>
          <w:tcPr>
            <w:tcW w:w="1525" w:type="dxa"/>
            <w:vMerge/>
          </w:tcPr>
          <w:p w14:paraId="4764B4E9" w14:textId="77777777" w:rsidR="00D97E3B" w:rsidRPr="007023B3" w:rsidRDefault="00D97E3B" w:rsidP="00873066">
            <w:pPr>
              <w:pStyle w:val="CEPATabletext"/>
              <w:rPr>
                <w:color w:val="auto"/>
              </w:rPr>
            </w:pPr>
          </w:p>
        </w:tc>
        <w:tc>
          <w:tcPr>
            <w:tcW w:w="1731" w:type="dxa"/>
            <w:vMerge/>
            <w:vAlign w:val="center"/>
          </w:tcPr>
          <w:p w14:paraId="7D7D3811" w14:textId="77777777" w:rsidR="00D97E3B" w:rsidRPr="007023B3" w:rsidRDefault="00D97E3B" w:rsidP="00873066">
            <w:pPr>
              <w:pStyle w:val="CEPATabletext"/>
              <w:rPr>
                <w:color w:val="auto"/>
              </w:rPr>
            </w:pPr>
          </w:p>
        </w:tc>
        <w:tc>
          <w:tcPr>
            <w:tcW w:w="2268" w:type="dxa"/>
            <w:vAlign w:val="center"/>
          </w:tcPr>
          <w:p w14:paraId="47DCD3D2" w14:textId="77777777" w:rsidR="00D97E3B" w:rsidRPr="007023B3" w:rsidRDefault="00D97E3B" w:rsidP="00873066">
            <w:pPr>
              <w:pStyle w:val="CEPATabletext"/>
              <w:rPr>
                <w:color w:val="auto"/>
              </w:rPr>
            </w:pPr>
            <w:r w:rsidRPr="007023B3">
              <w:rPr>
                <w:rFonts w:cs="Calibri"/>
                <w:color w:val="auto"/>
                <w:szCs w:val="22"/>
              </w:rPr>
              <w:t>Zach Katz</w:t>
            </w:r>
          </w:p>
        </w:tc>
        <w:tc>
          <w:tcPr>
            <w:tcW w:w="3492" w:type="dxa"/>
            <w:vAlign w:val="center"/>
          </w:tcPr>
          <w:p w14:paraId="7DB6EBA3" w14:textId="77777777" w:rsidR="00D97E3B" w:rsidRPr="007023B3" w:rsidRDefault="00D97E3B" w:rsidP="00873066">
            <w:pPr>
              <w:pStyle w:val="CEPATabletext"/>
              <w:rPr>
                <w:color w:val="auto"/>
              </w:rPr>
            </w:pPr>
            <w:r w:rsidRPr="007023B3">
              <w:rPr>
                <w:rFonts w:cs="Calibri"/>
                <w:color w:val="auto"/>
                <w:szCs w:val="22"/>
              </w:rPr>
              <w:t>Former Head of CHAI Laboratory Team</w:t>
            </w:r>
          </w:p>
        </w:tc>
      </w:tr>
      <w:tr w:rsidR="00D97E3B" w:rsidRPr="00A11B68" w14:paraId="5D380F9B" w14:textId="77777777" w:rsidTr="00873066">
        <w:tc>
          <w:tcPr>
            <w:tcW w:w="1525" w:type="dxa"/>
            <w:vMerge/>
          </w:tcPr>
          <w:p w14:paraId="1B88109E" w14:textId="77777777" w:rsidR="00D97E3B" w:rsidRPr="007023B3" w:rsidRDefault="00D97E3B" w:rsidP="00873066">
            <w:pPr>
              <w:pStyle w:val="CEPATabletext"/>
              <w:rPr>
                <w:color w:val="auto"/>
              </w:rPr>
            </w:pPr>
          </w:p>
        </w:tc>
        <w:tc>
          <w:tcPr>
            <w:tcW w:w="1731" w:type="dxa"/>
            <w:vAlign w:val="center"/>
          </w:tcPr>
          <w:p w14:paraId="4DF23C90" w14:textId="77777777" w:rsidR="00D97E3B" w:rsidRPr="007023B3" w:rsidRDefault="00D97E3B" w:rsidP="00873066">
            <w:pPr>
              <w:pStyle w:val="CEPATabletext"/>
              <w:tabs>
                <w:tab w:val="left" w:pos="1000"/>
              </w:tabs>
              <w:rPr>
                <w:color w:val="auto"/>
              </w:rPr>
            </w:pPr>
            <w:r w:rsidRPr="007023B3">
              <w:rPr>
                <w:rFonts w:cs="Calibri"/>
                <w:color w:val="auto"/>
                <w:szCs w:val="22"/>
              </w:rPr>
              <w:t>CDC</w:t>
            </w:r>
          </w:p>
        </w:tc>
        <w:tc>
          <w:tcPr>
            <w:tcW w:w="2268" w:type="dxa"/>
            <w:vAlign w:val="center"/>
          </w:tcPr>
          <w:p w14:paraId="610A3EDF" w14:textId="3416D1A2" w:rsidR="00D97E3B" w:rsidRPr="007023B3" w:rsidRDefault="00D97E3B" w:rsidP="00873066">
            <w:pPr>
              <w:pStyle w:val="CEPATabletext"/>
              <w:rPr>
                <w:color w:val="auto"/>
              </w:rPr>
            </w:pPr>
            <w:r w:rsidRPr="007023B3">
              <w:rPr>
                <w:rFonts w:cs="Calibri"/>
                <w:color w:val="auto"/>
                <w:szCs w:val="22"/>
              </w:rPr>
              <w:t>Debi Boeras</w:t>
            </w:r>
          </w:p>
        </w:tc>
        <w:tc>
          <w:tcPr>
            <w:tcW w:w="3492" w:type="dxa"/>
            <w:vAlign w:val="center"/>
          </w:tcPr>
          <w:p w14:paraId="611AD3B1" w14:textId="77777777" w:rsidR="00D97E3B" w:rsidRPr="007023B3" w:rsidRDefault="00D97E3B" w:rsidP="00873066">
            <w:pPr>
              <w:pStyle w:val="CEPATabletext"/>
              <w:rPr>
                <w:color w:val="auto"/>
              </w:rPr>
            </w:pPr>
            <w:r w:rsidRPr="007023B3">
              <w:rPr>
                <w:rFonts w:cs="Calibri"/>
                <w:color w:val="auto"/>
                <w:szCs w:val="22"/>
              </w:rPr>
              <w:t>Former Head of the VL/EID Section of The International Laboratory Branch</w:t>
            </w:r>
          </w:p>
        </w:tc>
      </w:tr>
      <w:tr w:rsidR="00D97E3B" w:rsidRPr="00A11B68" w14:paraId="431489C3" w14:textId="77777777" w:rsidTr="00873066">
        <w:tc>
          <w:tcPr>
            <w:tcW w:w="1525" w:type="dxa"/>
            <w:vMerge/>
          </w:tcPr>
          <w:p w14:paraId="4ABB9323" w14:textId="77777777" w:rsidR="00D97E3B" w:rsidRPr="007023B3" w:rsidRDefault="00D97E3B" w:rsidP="00873066">
            <w:pPr>
              <w:pStyle w:val="CEPATabletext"/>
              <w:rPr>
                <w:color w:val="auto"/>
              </w:rPr>
            </w:pPr>
          </w:p>
        </w:tc>
        <w:tc>
          <w:tcPr>
            <w:tcW w:w="1731" w:type="dxa"/>
            <w:vAlign w:val="center"/>
          </w:tcPr>
          <w:p w14:paraId="190879C9" w14:textId="77777777" w:rsidR="00D97E3B" w:rsidRPr="007023B3" w:rsidRDefault="00D97E3B" w:rsidP="00873066">
            <w:pPr>
              <w:pStyle w:val="CEPATabletext"/>
              <w:tabs>
                <w:tab w:val="left" w:pos="1000"/>
              </w:tabs>
              <w:rPr>
                <w:rFonts w:cs="Calibri"/>
                <w:color w:val="auto"/>
                <w:szCs w:val="22"/>
              </w:rPr>
            </w:pPr>
            <w:r w:rsidRPr="007023B3">
              <w:rPr>
                <w:rFonts w:cs="Calibri"/>
                <w:color w:val="auto"/>
                <w:szCs w:val="22"/>
              </w:rPr>
              <w:t>ITPC</w:t>
            </w:r>
          </w:p>
        </w:tc>
        <w:tc>
          <w:tcPr>
            <w:tcW w:w="2268" w:type="dxa"/>
            <w:shd w:val="clear" w:color="auto" w:fill="auto"/>
            <w:vAlign w:val="center"/>
          </w:tcPr>
          <w:p w14:paraId="7534E637" w14:textId="77777777" w:rsidR="00D97E3B" w:rsidRPr="007023B3" w:rsidRDefault="00D97E3B" w:rsidP="00873066">
            <w:pPr>
              <w:pStyle w:val="CEPATabletext"/>
              <w:rPr>
                <w:rFonts w:cs="Calibri"/>
                <w:color w:val="auto"/>
                <w:szCs w:val="22"/>
              </w:rPr>
            </w:pPr>
            <w:r w:rsidRPr="007023B3">
              <w:rPr>
                <w:rFonts w:cs="Calibri"/>
                <w:color w:val="auto"/>
                <w:szCs w:val="22"/>
              </w:rPr>
              <w:t>Solange Baptiste</w:t>
            </w:r>
          </w:p>
        </w:tc>
        <w:tc>
          <w:tcPr>
            <w:tcW w:w="3492" w:type="dxa"/>
            <w:shd w:val="clear" w:color="auto" w:fill="auto"/>
            <w:vAlign w:val="center"/>
          </w:tcPr>
          <w:p w14:paraId="0970AFCA" w14:textId="77777777" w:rsidR="00D97E3B" w:rsidRPr="007023B3" w:rsidRDefault="00D97E3B" w:rsidP="00873066">
            <w:pPr>
              <w:pStyle w:val="CEPATabletext"/>
              <w:rPr>
                <w:rFonts w:cs="Calibri"/>
                <w:color w:val="auto"/>
                <w:szCs w:val="22"/>
              </w:rPr>
            </w:pPr>
            <w:r w:rsidRPr="007023B3">
              <w:rPr>
                <w:rFonts w:cs="Calibri"/>
                <w:color w:val="auto"/>
                <w:szCs w:val="22"/>
              </w:rPr>
              <w:t>Executive Director, IPTC</w:t>
            </w:r>
          </w:p>
        </w:tc>
      </w:tr>
    </w:tbl>
    <w:p w14:paraId="05F5CC38" w14:textId="77777777" w:rsidR="00D97E3B" w:rsidRDefault="00D97E3B" w:rsidP="00D97E3B">
      <w:pPr>
        <w:rPr>
          <w:i/>
          <w:sz w:val="22"/>
        </w:rPr>
      </w:pPr>
    </w:p>
    <w:p w14:paraId="6CD31138" w14:textId="231C951A" w:rsidR="00D97E3B" w:rsidRPr="006D69DB" w:rsidRDefault="00D97E3B" w:rsidP="00D97E3B">
      <w:pPr>
        <w:rPr>
          <w:i/>
          <w:sz w:val="22"/>
        </w:rPr>
      </w:pPr>
      <w:r w:rsidRPr="006D69DB">
        <w:rPr>
          <w:i/>
          <w:sz w:val="22"/>
        </w:rPr>
        <w:t xml:space="preserve">Table </w:t>
      </w:r>
      <w:r w:rsidR="001D093F">
        <w:rPr>
          <w:i/>
          <w:sz w:val="22"/>
        </w:rPr>
        <w:t>B.2</w:t>
      </w:r>
      <w:r w:rsidRPr="006D69DB">
        <w:rPr>
          <w:i/>
          <w:sz w:val="22"/>
        </w:rPr>
        <w:t xml:space="preserve"> Country level consultee list</w:t>
      </w:r>
    </w:p>
    <w:tbl>
      <w:tblPr>
        <w:tblStyle w:val="TableGridCEPA1"/>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67"/>
        <w:gridCol w:w="1498"/>
        <w:gridCol w:w="1739"/>
        <w:gridCol w:w="4363"/>
      </w:tblGrid>
      <w:tr w:rsidR="00D97E3B" w:rsidRPr="00A11B68" w14:paraId="7EDDF1AF" w14:textId="77777777" w:rsidTr="00310134">
        <w:trPr>
          <w:cnfStyle w:val="100000000000" w:firstRow="1" w:lastRow="0" w:firstColumn="0" w:lastColumn="0" w:oddVBand="0" w:evenVBand="0" w:oddHBand="0" w:evenHBand="0" w:firstRowFirstColumn="0" w:firstRowLastColumn="0" w:lastRowFirstColumn="0" w:lastRowLastColumn="0"/>
          <w:tblHeader/>
        </w:trPr>
        <w:tc>
          <w:tcPr>
            <w:tcW w:w="1467" w:type="dxa"/>
          </w:tcPr>
          <w:p w14:paraId="784872F9" w14:textId="77777777" w:rsidR="00D97E3B" w:rsidRPr="00A11B68" w:rsidRDefault="00D97E3B" w:rsidP="00873066">
            <w:pPr>
              <w:pStyle w:val="CEPAReportText"/>
              <w:spacing w:before="60" w:afterLines="60" w:after="144" w:line="240" w:lineRule="auto"/>
              <w:rPr>
                <w:szCs w:val="22"/>
              </w:rPr>
            </w:pPr>
            <w:r w:rsidRPr="1672FCFE">
              <w:rPr>
                <w:color w:val="FFFFFF" w:themeColor="background1"/>
              </w:rPr>
              <w:t>Stakeholder group</w:t>
            </w:r>
          </w:p>
        </w:tc>
        <w:tc>
          <w:tcPr>
            <w:tcW w:w="1498" w:type="dxa"/>
          </w:tcPr>
          <w:p w14:paraId="0E6FAE60" w14:textId="77777777" w:rsidR="00D97E3B" w:rsidRPr="00A11B68" w:rsidRDefault="00D97E3B" w:rsidP="00873066">
            <w:pPr>
              <w:pStyle w:val="CEPAReportText"/>
              <w:spacing w:before="60" w:afterLines="60" w:after="144" w:line="240" w:lineRule="auto"/>
              <w:rPr>
                <w:color w:val="FFFFFF" w:themeColor="background1"/>
              </w:rPr>
            </w:pPr>
            <w:r w:rsidRPr="00A11B68">
              <w:rPr>
                <w:color w:val="FFFFFF" w:themeColor="background1"/>
              </w:rPr>
              <w:t>Organisation</w:t>
            </w:r>
          </w:p>
        </w:tc>
        <w:tc>
          <w:tcPr>
            <w:tcW w:w="1739" w:type="dxa"/>
          </w:tcPr>
          <w:p w14:paraId="6D814C59" w14:textId="77777777" w:rsidR="00D97E3B" w:rsidRPr="00A11B68" w:rsidRDefault="00D97E3B" w:rsidP="00873066">
            <w:pPr>
              <w:pStyle w:val="CEPAReportText"/>
              <w:spacing w:before="60" w:afterLines="60" w:after="144" w:line="240" w:lineRule="auto"/>
              <w:rPr>
                <w:szCs w:val="22"/>
              </w:rPr>
            </w:pPr>
            <w:r w:rsidRPr="1672FCFE">
              <w:rPr>
                <w:color w:val="FFFFFF" w:themeColor="background1"/>
              </w:rPr>
              <w:t>Name</w:t>
            </w:r>
          </w:p>
        </w:tc>
        <w:tc>
          <w:tcPr>
            <w:tcW w:w="4363" w:type="dxa"/>
          </w:tcPr>
          <w:p w14:paraId="145AEA5F" w14:textId="77777777" w:rsidR="00D97E3B" w:rsidRPr="00A11B68" w:rsidRDefault="00D97E3B" w:rsidP="00873066">
            <w:pPr>
              <w:pStyle w:val="CEPAReportText"/>
              <w:spacing w:before="60" w:afterLines="60" w:after="144" w:line="240" w:lineRule="auto"/>
              <w:rPr>
                <w:b w:val="0"/>
                <w:color w:val="auto"/>
              </w:rPr>
            </w:pPr>
            <w:r w:rsidRPr="1672FCFE">
              <w:rPr>
                <w:color w:val="FFFFFF" w:themeColor="background1"/>
              </w:rPr>
              <w:t>Position</w:t>
            </w:r>
          </w:p>
        </w:tc>
      </w:tr>
      <w:tr w:rsidR="00D97E3B" w:rsidRPr="00A11B68" w14:paraId="1168AE1C" w14:textId="77777777" w:rsidTr="00873066">
        <w:trPr>
          <w:trHeight w:val="186"/>
        </w:trPr>
        <w:tc>
          <w:tcPr>
            <w:tcW w:w="9067" w:type="dxa"/>
            <w:gridSpan w:val="4"/>
            <w:shd w:val="clear" w:color="auto" w:fill="C6C6C6" w:themeFill="accent5"/>
          </w:tcPr>
          <w:p w14:paraId="238DC91A" w14:textId="77777777" w:rsidR="00D97E3B" w:rsidRPr="00971F47" w:rsidRDefault="00D97E3B" w:rsidP="00873066">
            <w:pPr>
              <w:pStyle w:val="CEPATabletext"/>
              <w:rPr>
                <w:b/>
                <w:color w:val="auto"/>
              </w:rPr>
            </w:pPr>
            <w:r w:rsidRPr="00971F47">
              <w:rPr>
                <w:b/>
                <w:color w:val="auto"/>
              </w:rPr>
              <w:t>Zimbabwe</w:t>
            </w:r>
          </w:p>
        </w:tc>
      </w:tr>
      <w:tr w:rsidR="00D97E3B" w:rsidRPr="00A11B68" w14:paraId="57C4A5DB" w14:textId="77777777" w:rsidTr="005A30F9">
        <w:trPr>
          <w:trHeight w:val="186"/>
        </w:trPr>
        <w:tc>
          <w:tcPr>
            <w:tcW w:w="1467" w:type="dxa"/>
            <w:vMerge w:val="restart"/>
            <w:shd w:val="clear" w:color="auto" w:fill="auto"/>
          </w:tcPr>
          <w:p w14:paraId="77EC1C78" w14:textId="77777777" w:rsidR="00D97E3B" w:rsidRPr="00971F47" w:rsidRDefault="00D97E3B" w:rsidP="00873066">
            <w:pPr>
              <w:pStyle w:val="CEPATabletext"/>
              <w:rPr>
                <w:color w:val="auto"/>
              </w:rPr>
            </w:pPr>
            <w:r w:rsidRPr="00971F47">
              <w:rPr>
                <w:color w:val="auto"/>
              </w:rPr>
              <w:t>Other donors</w:t>
            </w:r>
          </w:p>
          <w:p w14:paraId="380D1F8E" w14:textId="77777777" w:rsidR="00D97E3B" w:rsidRPr="00971F47" w:rsidRDefault="00D97E3B" w:rsidP="00873066">
            <w:pPr>
              <w:pStyle w:val="CEPATabletext"/>
              <w:rPr>
                <w:color w:val="auto"/>
              </w:rPr>
            </w:pPr>
          </w:p>
        </w:tc>
        <w:tc>
          <w:tcPr>
            <w:tcW w:w="1498" w:type="dxa"/>
            <w:vMerge w:val="restart"/>
            <w:shd w:val="clear" w:color="auto" w:fill="auto"/>
          </w:tcPr>
          <w:p w14:paraId="6A805D14" w14:textId="77777777" w:rsidR="00D97E3B" w:rsidRPr="00971F47" w:rsidRDefault="00D97E3B" w:rsidP="00873066">
            <w:pPr>
              <w:pStyle w:val="CEPATabletext"/>
              <w:rPr>
                <w:color w:val="auto"/>
              </w:rPr>
            </w:pPr>
            <w:r w:rsidRPr="00971F47">
              <w:rPr>
                <w:color w:val="auto"/>
              </w:rPr>
              <w:t>WHO</w:t>
            </w:r>
          </w:p>
        </w:tc>
        <w:tc>
          <w:tcPr>
            <w:tcW w:w="1739" w:type="dxa"/>
            <w:shd w:val="clear" w:color="auto" w:fill="auto"/>
          </w:tcPr>
          <w:p w14:paraId="597FC7F1" w14:textId="77777777" w:rsidR="00D97E3B" w:rsidRPr="00971F47" w:rsidRDefault="00D97E3B" w:rsidP="00873066">
            <w:pPr>
              <w:pStyle w:val="CEPATabletext"/>
              <w:rPr>
                <w:color w:val="auto"/>
              </w:rPr>
            </w:pPr>
            <w:r w:rsidRPr="00971F47">
              <w:rPr>
                <w:color w:val="auto"/>
              </w:rPr>
              <w:t>David Okello</w:t>
            </w:r>
          </w:p>
        </w:tc>
        <w:tc>
          <w:tcPr>
            <w:tcW w:w="4363" w:type="dxa"/>
            <w:shd w:val="clear" w:color="auto" w:fill="auto"/>
          </w:tcPr>
          <w:p w14:paraId="1626562C" w14:textId="77777777" w:rsidR="00D97E3B" w:rsidRPr="00971F47" w:rsidRDefault="00D97E3B" w:rsidP="00873066">
            <w:pPr>
              <w:pStyle w:val="CEPATabletext"/>
              <w:rPr>
                <w:color w:val="auto"/>
              </w:rPr>
            </w:pPr>
            <w:r w:rsidRPr="00971F47">
              <w:rPr>
                <w:color w:val="auto"/>
              </w:rPr>
              <w:t>WHO Resident Representative</w:t>
            </w:r>
          </w:p>
        </w:tc>
      </w:tr>
      <w:tr w:rsidR="00D97E3B" w:rsidRPr="00A11B68" w14:paraId="06DDCCAA" w14:textId="77777777" w:rsidTr="005A30F9">
        <w:trPr>
          <w:trHeight w:val="186"/>
        </w:trPr>
        <w:tc>
          <w:tcPr>
            <w:tcW w:w="1467" w:type="dxa"/>
            <w:vMerge/>
            <w:shd w:val="clear" w:color="auto" w:fill="auto"/>
          </w:tcPr>
          <w:p w14:paraId="2E1BB487" w14:textId="77777777" w:rsidR="00D97E3B" w:rsidRPr="00971F47" w:rsidRDefault="00D97E3B" w:rsidP="00873066">
            <w:pPr>
              <w:pStyle w:val="CEPATabletext"/>
              <w:rPr>
                <w:color w:val="auto"/>
              </w:rPr>
            </w:pPr>
          </w:p>
        </w:tc>
        <w:tc>
          <w:tcPr>
            <w:tcW w:w="1498" w:type="dxa"/>
            <w:vMerge/>
            <w:shd w:val="clear" w:color="auto" w:fill="auto"/>
          </w:tcPr>
          <w:p w14:paraId="77E95D15" w14:textId="77777777" w:rsidR="00D97E3B" w:rsidRPr="00971F47" w:rsidRDefault="00D97E3B" w:rsidP="00873066">
            <w:pPr>
              <w:pStyle w:val="CEPATabletext"/>
              <w:rPr>
                <w:color w:val="auto"/>
              </w:rPr>
            </w:pPr>
          </w:p>
        </w:tc>
        <w:tc>
          <w:tcPr>
            <w:tcW w:w="1739" w:type="dxa"/>
            <w:shd w:val="clear" w:color="auto" w:fill="auto"/>
          </w:tcPr>
          <w:p w14:paraId="4EA4D7C1" w14:textId="77777777" w:rsidR="00D97E3B" w:rsidRPr="00971F47" w:rsidRDefault="00D97E3B" w:rsidP="00873066">
            <w:pPr>
              <w:pStyle w:val="CEPATabletext"/>
              <w:rPr>
                <w:color w:val="auto"/>
              </w:rPr>
            </w:pPr>
            <w:r w:rsidRPr="00971F47">
              <w:rPr>
                <w:color w:val="auto"/>
              </w:rPr>
              <w:t>Simbarashe Mabaya</w:t>
            </w:r>
          </w:p>
        </w:tc>
        <w:tc>
          <w:tcPr>
            <w:tcW w:w="4363" w:type="dxa"/>
            <w:shd w:val="clear" w:color="auto" w:fill="auto"/>
          </w:tcPr>
          <w:p w14:paraId="24F5DAF6" w14:textId="77777777" w:rsidR="00D97E3B" w:rsidRPr="00971F47" w:rsidRDefault="00D97E3B" w:rsidP="00873066">
            <w:pPr>
              <w:pStyle w:val="CEPATabletext"/>
              <w:rPr>
                <w:color w:val="auto"/>
              </w:rPr>
            </w:pPr>
            <w:r w:rsidRPr="00971F47">
              <w:rPr>
                <w:color w:val="auto"/>
              </w:rPr>
              <w:t>HIV Prevention Officer</w:t>
            </w:r>
          </w:p>
        </w:tc>
      </w:tr>
      <w:tr w:rsidR="00D97E3B" w:rsidRPr="00A11B68" w14:paraId="66E71396" w14:textId="77777777" w:rsidTr="005A30F9">
        <w:trPr>
          <w:trHeight w:val="186"/>
        </w:trPr>
        <w:tc>
          <w:tcPr>
            <w:tcW w:w="1467" w:type="dxa"/>
            <w:vMerge/>
            <w:shd w:val="clear" w:color="auto" w:fill="auto"/>
          </w:tcPr>
          <w:p w14:paraId="06013934" w14:textId="77777777" w:rsidR="00D97E3B" w:rsidRPr="00971F47" w:rsidRDefault="00D97E3B" w:rsidP="00873066">
            <w:pPr>
              <w:pStyle w:val="CEPATabletext"/>
              <w:rPr>
                <w:color w:val="auto"/>
              </w:rPr>
            </w:pPr>
          </w:p>
        </w:tc>
        <w:tc>
          <w:tcPr>
            <w:tcW w:w="1498" w:type="dxa"/>
            <w:shd w:val="clear" w:color="auto" w:fill="auto"/>
          </w:tcPr>
          <w:p w14:paraId="77FC3024" w14:textId="77777777" w:rsidR="00D97E3B" w:rsidRPr="00971F47" w:rsidRDefault="00D97E3B" w:rsidP="00873066">
            <w:pPr>
              <w:pStyle w:val="CEPATabletext"/>
              <w:rPr>
                <w:color w:val="auto"/>
              </w:rPr>
            </w:pPr>
            <w:r w:rsidRPr="00971F47">
              <w:rPr>
                <w:color w:val="auto"/>
              </w:rPr>
              <w:t>CHAI</w:t>
            </w:r>
          </w:p>
        </w:tc>
        <w:tc>
          <w:tcPr>
            <w:tcW w:w="1739" w:type="dxa"/>
            <w:shd w:val="clear" w:color="auto" w:fill="auto"/>
          </w:tcPr>
          <w:p w14:paraId="20CFD462" w14:textId="77777777" w:rsidR="00D97E3B" w:rsidRPr="00971F47" w:rsidRDefault="00D97E3B" w:rsidP="00873066">
            <w:pPr>
              <w:pStyle w:val="CEPATabletext"/>
              <w:rPr>
                <w:color w:val="auto"/>
              </w:rPr>
            </w:pPr>
            <w:r w:rsidRPr="00971F47">
              <w:rPr>
                <w:color w:val="auto"/>
              </w:rPr>
              <w:t>Phibeon Mangwendeza</w:t>
            </w:r>
          </w:p>
        </w:tc>
        <w:tc>
          <w:tcPr>
            <w:tcW w:w="4363" w:type="dxa"/>
            <w:shd w:val="clear" w:color="auto" w:fill="auto"/>
          </w:tcPr>
          <w:p w14:paraId="60137E74" w14:textId="77777777" w:rsidR="00D97E3B" w:rsidRPr="00971F47" w:rsidRDefault="00D97E3B" w:rsidP="00873066">
            <w:pPr>
              <w:pStyle w:val="CEPATabletext"/>
              <w:rPr>
                <w:color w:val="auto"/>
              </w:rPr>
            </w:pPr>
            <w:r w:rsidRPr="00971F47">
              <w:rPr>
                <w:color w:val="auto"/>
              </w:rPr>
              <w:t>Manager</w:t>
            </w:r>
          </w:p>
        </w:tc>
      </w:tr>
      <w:tr w:rsidR="00D97E3B" w:rsidRPr="00A11B68" w14:paraId="50268963" w14:textId="77777777" w:rsidTr="005A30F9">
        <w:trPr>
          <w:trHeight w:val="186"/>
        </w:trPr>
        <w:tc>
          <w:tcPr>
            <w:tcW w:w="1467" w:type="dxa"/>
            <w:vMerge/>
            <w:shd w:val="clear" w:color="auto" w:fill="auto"/>
          </w:tcPr>
          <w:p w14:paraId="49E74D77" w14:textId="77777777" w:rsidR="00D97E3B" w:rsidRPr="00971F47" w:rsidRDefault="00D97E3B" w:rsidP="00873066">
            <w:pPr>
              <w:pStyle w:val="CEPATabletext"/>
              <w:rPr>
                <w:color w:val="auto"/>
              </w:rPr>
            </w:pPr>
          </w:p>
        </w:tc>
        <w:tc>
          <w:tcPr>
            <w:tcW w:w="1498" w:type="dxa"/>
            <w:shd w:val="clear" w:color="auto" w:fill="auto"/>
          </w:tcPr>
          <w:p w14:paraId="49939E41" w14:textId="77777777" w:rsidR="00D97E3B" w:rsidRPr="00971F47" w:rsidRDefault="00D97E3B" w:rsidP="00873066">
            <w:pPr>
              <w:pStyle w:val="CEPATabletext"/>
              <w:rPr>
                <w:color w:val="auto"/>
              </w:rPr>
            </w:pPr>
            <w:r w:rsidRPr="00971F47">
              <w:rPr>
                <w:color w:val="auto"/>
              </w:rPr>
              <w:t>Global Fund CCM</w:t>
            </w:r>
          </w:p>
        </w:tc>
        <w:tc>
          <w:tcPr>
            <w:tcW w:w="1739" w:type="dxa"/>
            <w:shd w:val="clear" w:color="auto" w:fill="auto"/>
          </w:tcPr>
          <w:p w14:paraId="3F2AFD27" w14:textId="77777777" w:rsidR="00D97E3B" w:rsidRPr="00971F47" w:rsidRDefault="00D97E3B" w:rsidP="00873066">
            <w:pPr>
              <w:pStyle w:val="CEPATabletext"/>
              <w:rPr>
                <w:color w:val="auto"/>
              </w:rPr>
            </w:pPr>
            <w:r w:rsidRPr="00971F47">
              <w:rPr>
                <w:color w:val="auto"/>
              </w:rPr>
              <w:t>Oscar Mundida</w:t>
            </w:r>
          </w:p>
        </w:tc>
        <w:tc>
          <w:tcPr>
            <w:tcW w:w="4363" w:type="dxa"/>
            <w:shd w:val="clear" w:color="auto" w:fill="auto"/>
          </w:tcPr>
          <w:p w14:paraId="6F3E9D54" w14:textId="77777777" w:rsidR="00D97E3B" w:rsidRPr="00971F47" w:rsidRDefault="00D97E3B" w:rsidP="00873066">
            <w:pPr>
              <w:pStyle w:val="CEPATabletext"/>
              <w:rPr>
                <w:color w:val="auto"/>
              </w:rPr>
            </w:pPr>
            <w:r w:rsidRPr="00971F47">
              <w:rPr>
                <w:color w:val="auto"/>
              </w:rPr>
              <w:t>CCM Executive Secretary</w:t>
            </w:r>
          </w:p>
        </w:tc>
      </w:tr>
      <w:tr w:rsidR="00D97E3B" w:rsidRPr="00A11B68" w14:paraId="750FE7BF" w14:textId="77777777" w:rsidTr="005A30F9">
        <w:trPr>
          <w:trHeight w:val="186"/>
        </w:trPr>
        <w:tc>
          <w:tcPr>
            <w:tcW w:w="1467" w:type="dxa"/>
            <w:vMerge/>
            <w:shd w:val="clear" w:color="auto" w:fill="auto"/>
          </w:tcPr>
          <w:p w14:paraId="71718E20" w14:textId="77777777" w:rsidR="00D97E3B" w:rsidRPr="00971F47" w:rsidRDefault="00D97E3B" w:rsidP="00873066">
            <w:pPr>
              <w:pStyle w:val="CEPATabletext"/>
              <w:rPr>
                <w:color w:val="auto"/>
              </w:rPr>
            </w:pPr>
          </w:p>
        </w:tc>
        <w:tc>
          <w:tcPr>
            <w:tcW w:w="1498" w:type="dxa"/>
            <w:shd w:val="clear" w:color="auto" w:fill="auto"/>
          </w:tcPr>
          <w:p w14:paraId="2C6668CC" w14:textId="77777777" w:rsidR="00D97E3B" w:rsidRPr="00971F47" w:rsidRDefault="00D97E3B" w:rsidP="00873066">
            <w:pPr>
              <w:pStyle w:val="CEPATabletext"/>
              <w:rPr>
                <w:color w:val="auto"/>
              </w:rPr>
            </w:pPr>
            <w:r w:rsidRPr="00971F47">
              <w:rPr>
                <w:color w:val="auto"/>
              </w:rPr>
              <w:t>USAID</w:t>
            </w:r>
          </w:p>
        </w:tc>
        <w:tc>
          <w:tcPr>
            <w:tcW w:w="1739" w:type="dxa"/>
            <w:shd w:val="clear" w:color="auto" w:fill="auto"/>
          </w:tcPr>
          <w:p w14:paraId="6FCF27A8" w14:textId="77777777" w:rsidR="00D97E3B" w:rsidRPr="00971F47" w:rsidRDefault="00D97E3B" w:rsidP="00873066">
            <w:pPr>
              <w:pStyle w:val="CEPATabletext"/>
              <w:rPr>
                <w:color w:val="auto"/>
              </w:rPr>
            </w:pPr>
            <w:r w:rsidRPr="00971F47">
              <w:rPr>
                <w:color w:val="auto"/>
              </w:rPr>
              <w:t>Kathy Webb</w:t>
            </w:r>
          </w:p>
        </w:tc>
        <w:tc>
          <w:tcPr>
            <w:tcW w:w="4363" w:type="dxa"/>
            <w:shd w:val="clear" w:color="auto" w:fill="auto"/>
          </w:tcPr>
          <w:p w14:paraId="79315828" w14:textId="77777777" w:rsidR="00D97E3B" w:rsidRPr="00971F47" w:rsidRDefault="00D97E3B" w:rsidP="00873066">
            <w:pPr>
              <w:pStyle w:val="CEPATabletext"/>
              <w:rPr>
                <w:color w:val="auto"/>
              </w:rPr>
            </w:pPr>
            <w:r>
              <w:rPr>
                <w:color w:val="auto"/>
              </w:rPr>
              <w:t>Health Officer</w:t>
            </w:r>
          </w:p>
        </w:tc>
      </w:tr>
      <w:tr w:rsidR="00D97E3B" w:rsidRPr="00A11B68" w14:paraId="4E6CBD3A" w14:textId="77777777" w:rsidTr="00310134">
        <w:trPr>
          <w:trHeight w:val="186"/>
        </w:trPr>
        <w:tc>
          <w:tcPr>
            <w:tcW w:w="1467" w:type="dxa"/>
            <w:shd w:val="clear" w:color="auto" w:fill="auto"/>
          </w:tcPr>
          <w:p w14:paraId="7E3A75E8" w14:textId="77777777" w:rsidR="00D97E3B" w:rsidRPr="00971F47" w:rsidRDefault="00D97E3B" w:rsidP="00873066">
            <w:pPr>
              <w:pStyle w:val="CEPATabletext"/>
              <w:rPr>
                <w:color w:val="auto"/>
              </w:rPr>
            </w:pPr>
            <w:r w:rsidRPr="00971F47">
              <w:rPr>
                <w:color w:val="auto"/>
              </w:rPr>
              <w:t>Government</w:t>
            </w:r>
          </w:p>
        </w:tc>
        <w:tc>
          <w:tcPr>
            <w:tcW w:w="1498" w:type="dxa"/>
            <w:shd w:val="clear" w:color="auto" w:fill="auto"/>
          </w:tcPr>
          <w:p w14:paraId="23CA384C" w14:textId="77777777" w:rsidR="00D97E3B" w:rsidRPr="00971F47" w:rsidRDefault="00D97E3B" w:rsidP="00873066">
            <w:pPr>
              <w:pStyle w:val="CEPATabletext"/>
              <w:rPr>
                <w:color w:val="auto"/>
              </w:rPr>
            </w:pPr>
            <w:r w:rsidRPr="00971F47">
              <w:rPr>
                <w:color w:val="auto"/>
              </w:rPr>
              <w:t>NMRL, MOH</w:t>
            </w:r>
          </w:p>
        </w:tc>
        <w:tc>
          <w:tcPr>
            <w:tcW w:w="1739" w:type="dxa"/>
            <w:shd w:val="clear" w:color="auto" w:fill="auto"/>
          </w:tcPr>
          <w:p w14:paraId="1FDE8E8F" w14:textId="77777777" w:rsidR="00D97E3B" w:rsidRPr="00971F47" w:rsidRDefault="00D97E3B" w:rsidP="00873066">
            <w:pPr>
              <w:pStyle w:val="CEPATabletext"/>
              <w:rPr>
                <w:color w:val="auto"/>
              </w:rPr>
            </w:pPr>
            <w:r w:rsidRPr="00971F47">
              <w:rPr>
                <w:color w:val="auto"/>
              </w:rPr>
              <w:t>Ellen Munemo</w:t>
            </w:r>
          </w:p>
        </w:tc>
        <w:tc>
          <w:tcPr>
            <w:tcW w:w="4363" w:type="dxa"/>
            <w:shd w:val="clear" w:color="auto" w:fill="auto"/>
          </w:tcPr>
          <w:p w14:paraId="380FBA59" w14:textId="77777777" w:rsidR="00D97E3B" w:rsidRPr="00971F47" w:rsidRDefault="00D97E3B" w:rsidP="00873066">
            <w:pPr>
              <w:pStyle w:val="CEPATabletext"/>
              <w:rPr>
                <w:color w:val="auto"/>
              </w:rPr>
            </w:pPr>
            <w:r w:rsidRPr="00971F47">
              <w:rPr>
                <w:color w:val="auto"/>
              </w:rPr>
              <w:t>Coordinator, NMRL</w:t>
            </w:r>
          </w:p>
        </w:tc>
      </w:tr>
      <w:tr w:rsidR="00067DA6" w:rsidRPr="00A11B68" w14:paraId="522ED36A" w14:textId="77777777" w:rsidTr="00254615">
        <w:trPr>
          <w:trHeight w:val="186"/>
        </w:trPr>
        <w:tc>
          <w:tcPr>
            <w:tcW w:w="1467" w:type="dxa"/>
            <w:vMerge w:val="restart"/>
            <w:shd w:val="clear" w:color="auto" w:fill="auto"/>
          </w:tcPr>
          <w:p w14:paraId="3CA42C31" w14:textId="77777777" w:rsidR="00067DA6" w:rsidRPr="00971F47" w:rsidRDefault="00067DA6" w:rsidP="00873066">
            <w:pPr>
              <w:pStyle w:val="CEPATabletext"/>
              <w:rPr>
                <w:color w:val="auto"/>
              </w:rPr>
            </w:pPr>
            <w:r w:rsidRPr="00971F47">
              <w:rPr>
                <w:color w:val="auto"/>
              </w:rPr>
              <w:t>CSO</w:t>
            </w:r>
          </w:p>
        </w:tc>
        <w:tc>
          <w:tcPr>
            <w:tcW w:w="1498" w:type="dxa"/>
            <w:vMerge w:val="restart"/>
            <w:shd w:val="clear" w:color="auto" w:fill="auto"/>
          </w:tcPr>
          <w:p w14:paraId="014030A4" w14:textId="77777777" w:rsidR="00067DA6" w:rsidRPr="00971F47" w:rsidRDefault="00067DA6" w:rsidP="00873066">
            <w:pPr>
              <w:pStyle w:val="CEPATabletext"/>
              <w:jc w:val="left"/>
              <w:rPr>
                <w:color w:val="auto"/>
              </w:rPr>
            </w:pPr>
            <w:r w:rsidRPr="00971F47">
              <w:rPr>
                <w:color w:val="auto"/>
              </w:rPr>
              <w:t>Jointed Hands Welfare Organisation</w:t>
            </w:r>
          </w:p>
        </w:tc>
        <w:tc>
          <w:tcPr>
            <w:tcW w:w="1739" w:type="dxa"/>
            <w:shd w:val="clear" w:color="auto" w:fill="auto"/>
          </w:tcPr>
          <w:p w14:paraId="1696B914" w14:textId="77777777" w:rsidR="00067DA6" w:rsidRPr="00971F47" w:rsidRDefault="00067DA6" w:rsidP="00873066">
            <w:pPr>
              <w:pStyle w:val="CEPATabletext"/>
              <w:rPr>
                <w:color w:val="auto"/>
              </w:rPr>
            </w:pPr>
            <w:r w:rsidRPr="00971F47">
              <w:rPr>
                <w:color w:val="auto"/>
              </w:rPr>
              <w:t>Jessie Sukuta</w:t>
            </w:r>
          </w:p>
        </w:tc>
        <w:tc>
          <w:tcPr>
            <w:tcW w:w="4363" w:type="dxa"/>
            <w:shd w:val="clear" w:color="auto" w:fill="auto"/>
          </w:tcPr>
          <w:p w14:paraId="2F470245" w14:textId="77777777" w:rsidR="00067DA6" w:rsidRPr="00971F47" w:rsidRDefault="00067DA6" w:rsidP="00873066">
            <w:pPr>
              <w:pStyle w:val="CEPATabletext"/>
              <w:rPr>
                <w:color w:val="auto"/>
              </w:rPr>
            </w:pPr>
            <w:r>
              <w:rPr>
                <w:color w:val="auto"/>
              </w:rPr>
              <w:t>Programmes Coordinator</w:t>
            </w:r>
          </w:p>
        </w:tc>
      </w:tr>
      <w:tr w:rsidR="00067DA6" w:rsidRPr="00A11B68" w14:paraId="116906B9" w14:textId="77777777" w:rsidTr="00254615">
        <w:trPr>
          <w:trHeight w:val="404"/>
        </w:trPr>
        <w:tc>
          <w:tcPr>
            <w:tcW w:w="1467" w:type="dxa"/>
            <w:vMerge/>
            <w:shd w:val="clear" w:color="auto" w:fill="auto"/>
          </w:tcPr>
          <w:p w14:paraId="6971707F" w14:textId="77777777" w:rsidR="00067DA6" w:rsidRPr="00971F47" w:rsidRDefault="00067DA6" w:rsidP="00873066">
            <w:pPr>
              <w:pStyle w:val="CEPATabletext"/>
              <w:rPr>
                <w:color w:val="auto"/>
              </w:rPr>
            </w:pPr>
          </w:p>
        </w:tc>
        <w:tc>
          <w:tcPr>
            <w:tcW w:w="1498" w:type="dxa"/>
            <w:vMerge/>
            <w:shd w:val="clear" w:color="auto" w:fill="auto"/>
          </w:tcPr>
          <w:p w14:paraId="3FF59858" w14:textId="77777777" w:rsidR="00067DA6" w:rsidRPr="00971F47" w:rsidRDefault="00067DA6" w:rsidP="00873066">
            <w:pPr>
              <w:pStyle w:val="CEPATabletext"/>
              <w:rPr>
                <w:color w:val="auto"/>
              </w:rPr>
            </w:pPr>
          </w:p>
        </w:tc>
        <w:tc>
          <w:tcPr>
            <w:tcW w:w="1739" w:type="dxa"/>
            <w:shd w:val="clear" w:color="auto" w:fill="auto"/>
          </w:tcPr>
          <w:p w14:paraId="4BE24A80" w14:textId="77777777" w:rsidR="00067DA6" w:rsidRPr="00971F47" w:rsidRDefault="00067DA6" w:rsidP="00873066">
            <w:pPr>
              <w:pStyle w:val="CEPATabletext"/>
              <w:rPr>
                <w:color w:val="auto"/>
              </w:rPr>
            </w:pPr>
            <w:r w:rsidRPr="00971F47">
              <w:rPr>
                <w:color w:val="auto"/>
              </w:rPr>
              <w:t>Melody Mukundwi</w:t>
            </w:r>
          </w:p>
        </w:tc>
        <w:tc>
          <w:tcPr>
            <w:tcW w:w="4363" w:type="dxa"/>
            <w:shd w:val="clear" w:color="auto" w:fill="auto"/>
          </w:tcPr>
          <w:p w14:paraId="4350E4DF" w14:textId="77777777" w:rsidR="00067DA6" w:rsidRPr="00971F47" w:rsidRDefault="00067DA6" w:rsidP="00873066">
            <w:pPr>
              <w:pStyle w:val="CEPATabletext"/>
              <w:rPr>
                <w:color w:val="auto"/>
              </w:rPr>
            </w:pPr>
            <w:r>
              <w:rPr>
                <w:color w:val="auto"/>
              </w:rPr>
              <w:t>Communications and Liaison Officer</w:t>
            </w:r>
          </w:p>
        </w:tc>
      </w:tr>
      <w:tr w:rsidR="00067DA6" w:rsidRPr="00A11B68" w14:paraId="704F207D" w14:textId="77777777" w:rsidTr="00254615">
        <w:trPr>
          <w:trHeight w:val="404"/>
        </w:trPr>
        <w:tc>
          <w:tcPr>
            <w:tcW w:w="1467" w:type="dxa"/>
            <w:vMerge/>
            <w:shd w:val="clear" w:color="auto" w:fill="auto"/>
          </w:tcPr>
          <w:p w14:paraId="74A699B9" w14:textId="77777777" w:rsidR="00067DA6" w:rsidRPr="00971F47" w:rsidRDefault="00067DA6" w:rsidP="00873066">
            <w:pPr>
              <w:pStyle w:val="CEPATabletext"/>
            </w:pPr>
          </w:p>
        </w:tc>
        <w:tc>
          <w:tcPr>
            <w:tcW w:w="1498" w:type="dxa"/>
            <w:shd w:val="clear" w:color="auto" w:fill="auto"/>
          </w:tcPr>
          <w:p w14:paraId="36645275" w14:textId="0245378C" w:rsidR="00067DA6" w:rsidRPr="00067DA6" w:rsidRDefault="00067DA6" w:rsidP="00873066">
            <w:pPr>
              <w:pStyle w:val="CEPATabletext"/>
              <w:rPr>
                <w:color w:val="auto"/>
              </w:rPr>
            </w:pPr>
            <w:r w:rsidRPr="00556580">
              <w:rPr>
                <w:color w:val="auto"/>
              </w:rPr>
              <w:t>ZNNP+</w:t>
            </w:r>
          </w:p>
        </w:tc>
        <w:tc>
          <w:tcPr>
            <w:tcW w:w="1739" w:type="dxa"/>
            <w:shd w:val="clear" w:color="auto" w:fill="auto"/>
          </w:tcPr>
          <w:p w14:paraId="41BC1CE8" w14:textId="6548EFC0" w:rsidR="00067DA6" w:rsidRPr="00067DA6" w:rsidRDefault="00067DA6" w:rsidP="00873066">
            <w:pPr>
              <w:pStyle w:val="CEPATabletext"/>
              <w:rPr>
                <w:color w:val="auto"/>
              </w:rPr>
            </w:pPr>
            <w:r w:rsidRPr="00556580">
              <w:rPr>
                <w:color w:val="auto"/>
              </w:rPr>
              <w:t>Rumbidzai Matewe</w:t>
            </w:r>
          </w:p>
        </w:tc>
        <w:tc>
          <w:tcPr>
            <w:tcW w:w="4363" w:type="dxa"/>
            <w:shd w:val="clear" w:color="auto" w:fill="auto"/>
          </w:tcPr>
          <w:p w14:paraId="68ADD848" w14:textId="2FC814D7" w:rsidR="00067DA6" w:rsidRPr="00067DA6" w:rsidRDefault="00067DA6" w:rsidP="00873066">
            <w:pPr>
              <w:pStyle w:val="CEPATabletext"/>
              <w:rPr>
                <w:color w:val="auto"/>
              </w:rPr>
            </w:pPr>
            <w:r w:rsidRPr="00556580">
              <w:rPr>
                <w:color w:val="auto"/>
              </w:rPr>
              <w:t>Programmes and Training Manager</w:t>
            </w:r>
          </w:p>
        </w:tc>
      </w:tr>
      <w:tr w:rsidR="00D97E3B" w:rsidRPr="00A11B68" w14:paraId="7768CF77" w14:textId="77777777" w:rsidTr="00310134">
        <w:trPr>
          <w:trHeight w:val="186"/>
        </w:trPr>
        <w:tc>
          <w:tcPr>
            <w:tcW w:w="1467" w:type="dxa"/>
            <w:shd w:val="clear" w:color="auto" w:fill="auto"/>
          </w:tcPr>
          <w:p w14:paraId="0533942B" w14:textId="77777777" w:rsidR="00D97E3B" w:rsidRPr="00971F47" w:rsidRDefault="00D97E3B" w:rsidP="00873066">
            <w:pPr>
              <w:pStyle w:val="CEPATabletext"/>
              <w:rPr>
                <w:color w:val="auto"/>
              </w:rPr>
            </w:pPr>
            <w:r w:rsidRPr="00971F47">
              <w:rPr>
                <w:color w:val="auto"/>
              </w:rPr>
              <w:t>Government</w:t>
            </w:r>
          </w:p>
        </w:tc>
        <w:tc>
          <w:tcPr>
            <w:tcW w:w="1498" w:type="dxa"/>
            <w:shd w:val="clear" w:color="auto" w:fill="auto"/>
          </w:tcPr>
          <w:p w14:paraId="26C7E880" w14:textId="77777777" w:rsidR="00D97E3B" w:rsidRPr="00971F47" w:rsidRDefault="00D97E3B" w:rsidP="00873066">
            <w:pPr>
              <w:pStyle w:val="CEPATabletext"/>
              <w:rPr>
                <w:color w:val="auto"/>
              </w:rPr>
            </w:pPr>
            <w:r w:rsidRPr="00971F47">
              <w:rPr>
                <w:color w:val="auto"/>
              </w:rPr>
              <w:t>MOH</w:t>
            </w:r>
          </w:p>
        </w:tc>
        <w:tc>
          <w:tcPr>
            <w:tcW w:w="1739" w:type="dxa"/>
            <w:shd w:val="clear" w:color="auto" w:fill="auto"/>
          </w:tcPr>
          <w:p w14:paraId="5E2F36C9" w14:textId="77777777" w:rsidR="00D97E3B" w:rsidRPr="00971F47" w:rsidRDefault="00D97E3B" w:rsidP="00873066">
            <w:pPr>
              <w:pStyle w:val="CEPATabletext"/>
              <w:rPr>
                <w:color w:val="auto"/>
              </w:rPr>
            </w:pPr>
            <w:r w:rsidRPr="00971F47">
              <w:rPr>
                <w:color w:val="auto"/>
              </w:rPr>
              <w:t>Regis Choto</w:t>
            </w:r>
          </w:p>
        </w:tc>
        <w:tc>
          <w:tcPr>
            <w:tcW w:w="4363" w:type="dxa"/>
            <w:shd w:val="clear" w:color="auto" w:fill="auto"/>
          </w:tcPr>
          <w:p w14:paraId="5455B760" w14:textId="77777777" w:rsidR="00D97E3B" w:rsidRPr="00971F47" w:rsidRDefault="00D97E3B" w:rsidP="00873066">
            <w:pPr>
              <w:pStyle w:val="CEPATabletext"/>
              <w:rPr>
                <w:color w:val="auto"/>
              </w:rPr>
            </w:pPr>
            <w:r w:rsidRPr="00971F47">
              <w:rPr>
                <w:color w:val="auto"/>
              </w:rPr>
              <w:t>National ART Coordinator</w:t>
            </w:r>
          </w:p>
        </w:tc>
      </w:tr>
      <w:tr w:rsidR="00D97E3B" w:rsidRPr="00A11B68" w14:paraId="1FB77173" w14:textId="77777777" w:rsidTr="005A30F9">
        <w:trPr>
          <w:trHeight w:val="186"/>
        </w:trPr>
        <w:tc>
          <w:tcPr>
            <w:tcW w:w="1467" w:type="dxa"/>
            <w:vMerge w:val="restart"/>
            <w:shd w:val="clear" w:color="auto" w:fill="auto"/>
          </w:tcPr>
          <w:p w14:paraId="0AEBF029" w14:textId="77777777" w:rsidR="00D97E3B" w:rsidRPr="00971F47" w:rsidRDefault="00D97E3B" w:rsidP="00873066">
            <w:pPr>
              <w:pStyle w:val="CEPATabletext"/>
              <w:rPr>
                <w:color w:val="auto"/>
              </w:rPr>
            </w:pPr>
            <w:r w:rsidRPr="00971F47">
              <w:rPr>
                <w:color w:val="auto"/>
              </w:rPr>
              <w:t>Implementing partner</w:t>
            </w:r>
          </w:p>
          <w:p w14:paraId="186905FA" w14:textId="77777777" w:rsidR="00D97E3B" w:rsidRPr="00971F47" w:rsidRDefault="00D97E3B" w:rsidP="00873066">
            <w:pPr>
              <w:pStyle w:val="CEPATabletext"/>
              <w:rPr>
                <w:color w:val="auto"/>
              </w:rPr>
            </w:pPr>
          </w:p>
        </w:tc>
        <w:tc>
          <w:tcPr>
            <w:tcW w:w="1498" w:type="dxa"/>
            <w:vMerge w:val="restart"/>
            <w:shd w:val="clear" w:color="auto" w:fill="auto"/>
          </w:tcPr>
          <w:p w14:paraId="1016FA53" w14:textId="77777777" w:rsidR="00D97E3B" w:rsidRPr="00971F47" w:rsidRDefault="00D97E3B" w:rsidP="00873066">
            <w:pPr>
              <w:pStyle w:val="CEPATabletext"/>
              <w:rPr>
                <w:color w:val="auto"/>
              </w:rPr>
            </w:pPr>
            <w:r w:rsidRPr="00971F47">
              <w:rPr>
                <w:color w:val="auto"/>
              </w:rPr>
              <w:t>MSF</w:t>
            </w:r>
          </w:p>
        </w:tc>
        <w:tc>
          <w:tcPr>
            <w:tcW w:w="1739" w:type="dxa"/>
            <w:shd w:val="clear" w:color="auto" w:fill="auto"/>
          </w:tcPr>
          <w:p w14:paraId="5C8E05F6" w14:textId="77777777" w:rsidR="00D97E3B" w:rsidRPr="00971F47" w:rsidRDefault="00D97E3B" w:rsidP="00873066">
            <w:pPr>
              <w:pStyle w:val="CEPATabletext"/>
              <w:rPr>
                <w:color w:val="auto"/>
              </w:rPr>
            </w:pPr>
            <w:r w:rsidRPr="00971F47">
              <w:rPr>
                <w:color w:val="auto"/>
              </w:rPr>
              <w:t>Daniela Garone</w:t>
            </w:r>
          </w:p>
        </w:tc>
        <w:tc>
          <w:tcPr>
            <w:tcW w:w="4363" w:type="dxa"/>
            <w:shd w:val="clear" w:color="auto" w:fill="auto"/>
          </w:tcPr>
          <w:p w14:paraId="4F8796F7" w14:textId="77777777" w:rsidR="00D97E3B" w:rsidRPr="00971F47" w:rsidRDefault="00D97E3B" w:rsidP="00873066">
            <w:pPr>
              <w:pStyle w:val="CEPATabletext"/>
              <w:rPr>
                <w:color w:val="auto"/>
              </w:rPr>
            </w:pPr>
            <w:r w:rsidRPr="00971F47">
              <w:rPr>
                <w:color w:val="auto"/>
              </w:rPr>
              <w:t>Medical Coordinator</w:t>
            </w:r>
          </w:p>
        </w:tc>
      </w:tr>
      <w:tr w:rsidR="00D97E3B" w:rsidRPr="00A11B68" w14:paraId="453B43D9" w14:textId="77777777" w:rsidTr="005A30F9">
        <w:trPr>
          <w:trHeight w:val="186"/>
        </w:trPr>
        <w:tc>
          <w:tcPr>
            <w:tcW w:w="1467" w:type="dxa"/>
            <w:vMerge/>
            <w:shd w:val="clear" w:color="auto" w:fill="auto"/>
          </w:tcPr>
          <w:p w14:paraId="5B881BF2" w14:textId="77777777" w:rsidR="00D97E3B" w:rsidRPr="00971F47" w:rsidRDefault="00D97E3B" w:rsidP="00873066">
            <w:pPr>
              <w:pStyle w:val="CEPATabletext"/>
              <w:rPr>
                <w:color w:val="auto"/>
              </w:rPr>
            </w:pPr>
          </w:p>
        </w:tc>
        <w:tc>
          <w:tcPr>
            <w:tcW w:w="1498" w:type="dxa"/>
            <w:vMerge/>
            <w:shd w:val="clear" w:color="auto" w:fill="auto"/>
          </w:tcPr>
          <w:p w14:paraId="0FA50495" w14:textId="77777777" w:rsidR="00D97E3B" w:rsidRPr="00971F47" w:rsidRDefault="00D97E3B" w:rsidP="00873066">
            <w:pPr>
              <w:pStyle w:val="CEPATabletext"/>
              <w:rPr>
                <w:color w:val="auto"/>
              </w:rPr>
            </w:pPr>
          </w:p>
        </w:tc>
        <w:tc>
          <w:tcPr>
            <w:tcW w:w="1739" w:type="dxa"/>
            <w:shd w:val="clear" w:color="auto" w:fill="auto"/>
          </w:tcPr>
          <w:p w14:paraId="48AD90A9" w14:textId="77777777" w:rsidR="00D97E3B" w:rsidRPr="00971F47" w:rsidRDefault="00D97E3B" w:rsidP="00873066">
            <w:pPr>
              <w:pStyle w:val="CEPATabletext"/>
              <w:rPr>
                <w:color w:val="auto"/>
              </w:rPr>
            </w:pPr>
            <w:r w:rsidRPr="00971F47">
              <w:rPr>
                <w:color w:val="auto"/>
              </w:rPr>
              <w:t>Bjorn Nissen</w:t>
            </w:r>
          </w:p>
        </w:tc>
        <w:tc>
          <w:tcPr>
            <w:tcW w:w="4363" w:type="dxa"/>
            <w:shd w:val="clear" w:color="auto" w:fill="auto"/>
          </w:tcPr>
          <w:p w14:paraId="459376A4" w14:textId="77777777" w:rsidR="00D97E3B" w:rsidRPr="00971F47" w:rsidRDefault="00D97E3B" w:rsidP="00873066">
            <w:pPr>
              <w:pStyle w:val="CEPATabletext"/>
              <w:rPr>
                <w:color w:val="auto"/>
              </w:rPr>
            </w:pPr>
            <w:r w:rsidRPr="00971F47">
              <w:rPr>
                <w:color w:val="auto"/>
              </w:rPr>
              <w:t>Country Director</w:t>
            </w:r>
          </w:p>
        </w:tc>
      </w:tr>
      <w:tr w:rsidR="00D97E3B" w:rsidRPr="00A11B68" w14:paraId="5E04F583" w14:textId="77777777" w:rsidTr="005A30F9">
        <w:trPr>
          <w:trHeight w:val="186"/>
        </w:trPr>
        <w:tc>
          <w:tcPr>
            <w:tcW w:w="1467" w:type="dxa"/>
            <w:vMerge/>
            <w:shd w:val="clear" w:color="auto" w:fill="auto"/>
          </w:tcPr>
          <w:p w14:paraId="0DA6C69C" w14:textId="77777777" w:rsidR="00D97E3B" w:rsidRPr="00971F47" w:rsidRDefault="00D97E3B" w:rsidP="00873066">
            <w:pPr>
              <w:pStyle w:val="CEPATabletext"/>
              <w:rPr>
                <w:color w:val="auto"/>
              </w:rPr>
            </w:pPr>
          </w:p>
        </w:tc>
        <w:tc>
          <w:tcPr>
            <w:tcW w:w="1498" w:type="dxa"/>
            <w:vMerge/>
            <w:shd w:val="clear" w:color="auto" w:fill="auto"/>
          </w:tcPr>
          <w:p w14:paraId="521DFBEE" w14:textId="77777777" w:rsidR="00D97E3B" w:rsidRPr="00971F47" w:rsidRDefault="00D97E3B" w:rsidP="00873066">
            <w:pPr>
              <w:pStyle w:val="CEPATabletext"/>
              <w:rPr>
                <w:color w:val="auto"/>
              </w:rPr>
            </w:pPr>
          </w:p>
        </w:tc>
        <w:tc>
          <w:tcPr>
            <w:tcW w:w="1739" w:type="dxa"/>
            <w:shd w:val="clear" w:color="auto" w:fill="auto"/>
          </w:tcPr>
          <w:p w14:paraId="6356A835" w14:textId="77777777" w:rsidR="00D97E3B" w:rsidRPr="00971F47" w:rsidRDefault="00D97E3B" w:rsidP="00873066">
            <w:pPr>
              <w:pStyle w:val="CEPATabletext"/>
              <w:rPr>
                <w:color w:val="auto"/>
              </w:rPr>
            </w:pPr>
            <w:r w:rsidRPr="00971F47">
              <w:rPr>
                <w:color w:val="auto"/>
              </w:rPr>
              <w:t>Abraham Mapufo</w:t>
            </w:r>
          </w:p>
        </w:tc>
        <w:tc>
          <w:tcPr>
            <w:tcW w:w="4363" w:type="dxa"/>
            <w:shd w:val="clear" w:color="auto" w:fill="auto"/>
          </w:tcPr>
          <w:p w14:paraId="0E7FF5CA" w14:textId="77777777" w:rsidR="00D97E3B" w:rsidRPr="00971F47" w:rsidRDefault="00D97E3B" w:rsidP="00873066">
            <w:pPr>
              <w:pStyle w:val="CEPATabletext"/>
              <w:rPr>
                <w:color w:val="auto"/>
              </w:rPr>
            </w:pPr>
            <w:r w:rsidRPr="00971F47">
              <w:rPr>
                <w:color w:val="auto"/>
              </w:rPr>
              <w:t>Medical Doctor, Deputy Field Coordinator (Gutu)</w:t>
            </w:r>
          </w:p>
        </w:tc>
      </w:tr>
      <w:tr w:rsidR="00D97E3B" w:rsidRPr="00A11B68" w14:paraId="461816FE" w14:textId="77777777" w:rsidTr="005A30F9">
        <w:trPr>
          <w:trHeight w:val="186"/>
        </w:trPr>
        <w:tc>
          <w:tcPr>
            <w:tcW w:w="1467" w:type="dxa"/>
            <w:vMerge/>
            <w:shd w:val="clear" w:color="auto" w:fill="auto"/>
          </w:tcPr>
          <w:p w14:paraId="7F4B8617" w14:textId="77777777" w:rsidR="00D97E3B" w:rsidRPr="00971F47" w:rsidRDefault="00D97E3B" w:rsidP="00873066">
            <w:pPr>
              <w:pStyle w:val="CEPATabletext"/>
              <w:rPr>
                <w:color w:val="auto"/>
              </w:rPr>
            </w:pPr>
          </w:p>
        </w:tc>
        <w:tc>
          <w:tcPr>
            <w:tcW w:w="1498" w:type="dxa"/>
            <w:vMerge/>
            <w:shd w:val="clear" w:color="auto" w:fill="auto"/>
          </w:tcPr>
          <w:p w14:paraId="0F6428F4" w14:textId="77777777" w:rsidR="00D97E3B" w:rsidRPr="00971F47" w:rsidRDefault="00D97E3B" w:rsidP="00873066">
            <w:pPr>
              <w:pStyle w:val="CEPATabletext"/>
              <w:rPr>
                <w:color w:val="auto"/>
              </w:rPr>
            </w:pPr>
          </w:p>
        </w:tc>
        <w:tc>
          <w:tcPr>
            <w:tcW w:w="1739" w:type="dxa"/>
            <w:shd w:val="clear" w:color="auto" w:fill="auto"/>
          </w:tcPr>
          <w:p w14:paraId="1083D137" w14:textId="77777777" w:rsidR="00D97E3B" w:rsidRPr="00971F47" w:rsidRDefault="00D97E3B" w:rsidP="00873066">
            <w:pPr>
              <w:pStyle w:val="CEPATabletext"/>
              <w:rPr>
                <w:color w:val="auto"/>
              </w:rPr>
            </w:pPr>
            <w:r w:rsidRPr="00971F47">
              <w:rPr>
                <w:color w:val="auto"/>
              </w:rPr>
              <w:t>Dominique Kouadio</w:t>
            </w:r>
          </w:p>
        </w:tc>
        <w:tc>
          <w:tcPr>
            <w:tcW w:w="4363" w:type="dxa"/>
            <w:shd w:val="clear" w:color="auto" w:fill="auto"/>
          </w:tcPr>
          <w:p w14:paraId="2BFDE3C7" w14:textId="77777777" w:rsidR="00D97E3B" w:rsidRPr="00971F47" w:rsidRDefault="00D97E3B" w:rsidP="00873066">
            <w:pPr>
              <w:pStyle w:val="CEPATabletext"/>
              <w:rPr>
                <w:color w:val="auto"/>
              </w:rPr>
            </w:pPr>
            <w:r w:rsidRPr="00971F47">
              <w:rPr>
                <w:color w:val="auto"/>
              </w:rPr>
              <w:t>Field Coordinator (Gutu)</w:t>
            </w:r>
          </w:p>
        </w:tc>
      </w:tr>
      <w:tr w:rsidR="00D97E3B" w:rsidRPr="00A11B68" w14:paraId="2DE71CA4" w14:textId="77777777" w:rsidTr="005A30F9">
        <w:trPr>
          <w:trHeight w:val="186"/>
        </w:trPr>
        <w:tc>
          <w:tcPr>
            <w:tcW w:w="1467" w:type="dxa"/>
            <w:vMerge w:val="restart"/>
            <w:shd w:val="clear" w:color="auto" w:fill="auto"/>
          </w:tcPr>
          <w:p w14:paraId="2536F5FA" w14:textId="77777777" w:rsidR="00D97E3B" w:rsidRPr="00971F47" w:rsidRDefault="00D97E3B" w:rsidP="00873066">
            <w:pPr>
              <w:pStyle w:val="CEPATabletext"/>
              <w:rPr>
                <w:color w:val="auto"/>
              </w:rPr>
            </w:pPr>
            <w:r w:rsidRPr="00971F47">
              <w:rPr>
                <w:color w:val="auto"/>
              </w:rPr>
              <w:t>Health facilities</w:t>
            </w:r>
          </w:p>
        </w:tc>
        <w:tc>
          <w:tcPr>
            <w:tcW w:w="1498" w:type="dxa"/>
            <w:vMerge w:val="restart"/>
            <w:shd w:val="clear" w:color="auto" w:fill="auto"/>
          </w:tcPr>
          <w:p w14:paraId="48873A48" w14:textId="77777777" w:rsidR="00D97E3B" w:rsidRPr="00971F47" w:rsidRDefault="00D97E3B" w:rsidP="00873066">
            <w:pPr>
              <w:pStyle w:val="CEPATabletext"/>
              <w:rPr>
                <w:color w:val="auto"/>
              </w:rPr>
            </w:pPr>
            <w:r w:rsidRPr="00971F47">
              <w:rPr>
                <w:color w:val="auto"/>
              </w:rPr>
              <w:t>Gutu Facility Staff</w:t>
            </w:r>
          </w:p>
        </w:tc>
        <w:tc>
          <w:tcPr>
            <w:tcW w:w="1739" w:type="dxa"/>
            <w:shd w:val="clear" w:color="auto" w:fill="auto"/>
          </w:tcPr>
          <w:p w14:paraId="06D3BA6B" w14:textId="77777777" w:rsidR="00D97E3B" w:rsidRPr="00971F47" w:rsidRDefault="00D97E3B" w:rsidP="00873066">
            <w:pPr>
              <w:pStyle w:val="CEPATabletext"/>
              <w:rPr>
                <w:color w:val="auto"/>
              </w:rPr>
            </w:pPr>
            <w:r w:rsidRPr="00971F47">
              <w:rPr>
                <w:color w:val="auto"/>
              </w:rPr>
              <w:t>Agustus Chikwati</w:t>
            </w:r>
          </w:p>
        </w:tc>
        <w:tc>
          <w:tcPr>
            <w:tcW w:w="4363" w:type="dxa"/>
            <w:shd w:val="clear" w:color="auto" w:fill="auto"/>
          </w:tcPr>
          <w:p w14:paraId="03A361AF" w14:textId="77777777" w:rsidR="00D97E3B" w:rsidRPr="00971F47" w:rsidRDefault="00D97E3B" w:rsidP="00873066">
            <w:pPr>
              <w:pStyle w:val="CEPATabletext"/>
              <w:rPr>
                <w:color w:val="auto"/>
              </w:rPr>
            </w:pPr>
            <w:r w:rsidRPr="00971F47">
              <w:rPr>
                <w:color w:val="auto"/>
              </w:rPr>
              <w:t>Nurse in Charge</w:t>
            </w:r>
          </w:p>
        </w:tc>
      </w:tr>
      <w:tr w:rsidR="00D97E3B" w:rsidRPr="00A11B68" w14:paraId="6194A6C9" w14:textId="77777777" w:rsidTr="005A30F9">
        <w:trPr>
          <w:trHeight w:val="186"/>
        </w:trPr>
        <w:tc>
          <w:tcPr>
            <w:tcW w:w="1467" w:type="dxa"/>
            <w:vMerge/>
            <w:shd w:val="clear" w:color="auto" w:fill="auto"/>
          </w:tcPr>
          <w:p w14:paraId="16427D8C" w14:textId="77777777" w:rsidR="00D97E3B" w:rsidRPr="00971F47" w:rsidRDefault="00D97E3B" w:rsidP="00873066">
            <w:pPr>
              <w:pStyle w:val="CEPATabletext"/>
              <w:rPr>
                <w:color w:val="auto"/>
              </w:rPr>
            </w:pPr>
          </w:p>
        </w:tc>
        <w:tc>
          <w:tcPr>
            <w:tcW w:w="1498" w:type="dxa"/>
            <w:vMerge/>
            <w:shd w:val="clear" w:color="auto" w:fill="auto"/>
          </w:tcPr>
          <w:p w14:paraId="0FD71FA8" w14:textId="77777777" w:rsidR="00D97E3B" w:rsidRPr="00971F47" w:rsidRDefault="00D97E3B" w:rsidP="00873066">
            <w:pPr>
              <w:pStyle w:val="CEPATabletext"/>
              <w:rPr>
                <w:color w:val="auto"/>
              </w:rPr>
            </w:pPr>
          </w:p>
        </w:tc>
        <w:tc>
          <w:tcPr>
            <w:tcW w:w="1739" w:type="dxa"/>
            <w:shd w:val="clear" w:color="auto" w:fill="auto"/>
          </w:tcPr>
          <w:p w14:paraId="4AE6218F" w14:textId="77777777" w:rsidR="00D97E3B" w:rsidRPr="00971F47" w:rsidRDefault="00D97E3B" w:rsidP="00873066">
            <w:pPr>
              <w:pStyle w:val="CEPATabletext"/>
              <w:rPr>
                <w:color w:val="auto"/>
              </w:rPr>
            </w:pPr>
            <w:r w:rsidRPr="00971F47">
              <w:rPr>
                <w:color w:val="auto"/>
              </w:rPr>
              <w:t>Tafadzwa Kupfavira</w:t>
            </w:r>
          </w:p>
        </w:tc>
        <w:tc>
          <w:tcPr>
            <w:tcW w:w="4363" w:type="dxa"/>
            <w:shd w:val="clear" w:color="auto" w:fill="auto"/>
          </w:tcPr>
          <w:p w14:paraId="79A24742" w14:textId="77777777" w:rsidR="00D97E3B" w:rsidRPr="00971F47" w:rsidRDefault="00D97E3B" w:rsidP="00873066">
            <w:pPr>
              <w:pStyle w:val="CEPATabletext"/>
              <w:rPr>
                <w:color w:val="auto"/>
              </w:rPr>
            </w:pPr>
            <w:r w:rsidRPr="00971F47">
              <w:rPr>
                <w:color w:val="auto"/>
              </w:rPr>
              <w:t xml:space="preserve">Opportunistic Infection Nurse </w:t>
            </w:r>
          </w:p>
        </w:tc>
      </w:tr>
      <w:tr w:rsidR="00D97E3B" w:rsidRPr="00A11B68" w14:paraId="136D9A1C" w14:textId="77777777" w:rsidTr="00873066">
        <w:trPr>
          <w:trHeight w:val="186"/>
        </w:trPr>
        <w:tc>
          <w:tcPr>
            <w:tcW w:w="9067" w:type="dxa"/>
            <w:gridSpan w:val="4"/>
            <w:shd w:val="clear" w:color="auto" w:fill="C6C6C6" w:themeFill="accent5"/>
          </w:tcPr>
          <w:p w14:paraId="1ECF57F2" w14:textId="77777777" w:rsidR="00D97E3B" w:rsidRPr="00971F47" w:rsidRDefault="00D97E3B" w:rsidP="00873066">
            <w:pPr>
              <w:pStyle w:val="CEPATabletext"/>
              <w:rPr>
                <w:b/>
                <w:color w:val="auto"/>
              </w:rPr>
            </w:pPr>
            <w:r w:rsidRPr="00971F47">
              <w:rPr>
                <w:b/>
                <w:color w:val="auto"/>
              </w:rPr>
              <w:t>Malawi</w:t>
            </w:r>
          </w:p>
        </w:tc>
      </w:tr>
      <w:tr w:rsidR="00D97E3B" w:rsidRPr="00A11B68" w14:paraId="566AD718" w14:textId="77777777" w:rsidTr="005A30F9">
        <w:trPr>
          <w:trHeight w:val="186"/>
        </w:trPr>
        <w:tc>
          <w:tcPr>
            <w:tcW w:w="1467" w:type="dxa"/>
            <w:vMerge w:val="restart"/>
            <w:shd w:val="clear" w:color="auto" w:fill="auto"/>
          </w:tcPr>
          <w:p w14:paraId="6EBDEAAD" w14:textId="77777777" w:rsidR="00D97E3B" w:rsidRPr="00971F47" w:rsidRDefault="00D97E3B" w:rsidP="00873066">
            <w:pPr>
              <w:pStyle w:val="CEPATabletext"/>
              <w:rPr>
                <w:color w:val="auto"/>
              </w:rPr>
            </w:pPr>
            <w:r w:rsidRPr="00971F47">
              <w:rPr>
                <w:color w:val="auto"/>
              </w:rPr>
              <w:t>Government</w:t>
            </w:r>
          </w:p>
        </w:tc>
        <w:tc>
          <w:tcPr>
            <w:tcW w:w="1498" w:type="dxa"/>
            <w:vMerge w:val="restart"/>
            <w:shd w:val="clear" w:color="auto" w:fill="auto"/>
          </w:tcPr>
          <w:p w14:paraId="06E0EC22" w14:textId="77777777" w:rsidR="00D97E3B" w:rsidRPr="00971F47" w:rsidRDefault="00D97E3B" w:rsidP="00873066">
            <w:pPr>
              <w:pStyle w:val="CEPATabletext"/>
              <w:rPr>
                <w:color w:val="auto"/>
              </w:rPr>
            </w:pPr>
            <w:r w:rsidRPr="00971F47">
              <w:rPr>
                <w:color w:val="auto"/>
              </w:rPr>
              <w:t>MOH</w:t>
            </w:r>
          </w:p>
        </w:tc>
        <w:tc>
          <w:tcPr>
            <w:tcW w:w="1739" w:type="dxa"/>
            <w:shd w:val="clear" w:color="auto" w:fill="auto"/>
          </w:tcPr>
          <w:p w14:paraId="7DCF7C6F" w14:textId="77777777" w:rsidR="00D97E3B" w:rsidRPr="00971F47" w:rsidRDefault="00D97E3B" w:rsidP="00873066">
            <w:pPr>
              <w:pStyle w:val="CEPATabletext"/>
              <w:rPr>
                <w:color w:val="auto"/>
              </w:rPr>
            </w:pPr>
            <w:r w:rsidRPr="00971F47">
              <w:rPr>
                <w:color w:val="auto"/>
              </w:rPr>
              <w:t>James Kandulu</w:t>
            </w:r>
          </w:p>
        </w:tc>
        <w:tc>
          <w:tcPr>
            <w:tcW w:w="4363" w:type="dxa"/>
            <w:shd w:val="clear" w:color="auto" w:fill="auto"/>
          </w:tcPr>
          <w:p w14:paraId="1BE5B559" w14:textId="77777777" w:rsidR="00D97E3B" w:rsidRPr="00971F47" w:rsidRDefault="00D97E3B" w:rsidP="00873066">
            <w:pPr>
              <w:pStyle w:val="CEPATabletext"/>
              <w:rPr>
                <w:color w:val="auto"/>
              </w:rPr>
            </w:pPr>
            <w:r w:rsidRPr="00971F47">
              <w:rPr>
                <w:color w:val="auto"/>
              </w:rPr>
              <w:t>Director of Diagnostics Department</w:t>
            </w:r>
          </w:p>
        </w:tc>
      </w:tr>
      <w:tr w:rsidR="00D97E3B" w:rsidRPr="00A11B68" w14:paraId="145E9760" w14:textId="77777777" w:rsidTr="005A30F9">
        <w:trPr>
          <w:trHeight w:val="186"/>
        </w:trPr>
        <w:tc>
          <w:tcPr>
            <w:tcW w:w="1467" w:type="dxa"/>
            <w:vMerge/>
            <w:shd w:val="clear" w:color="auto" w:fill="auto"/>
          </w:tcPr>
          <w:p w14:paraId="5BCAA3A9" w14:textId="77777777" w:rsidR="00D97E3B" w:rsidRPr="00971F47" w:rsidRDefault="00D97E3B" w:rsidP="00873066">
            <w:pPr>
              <w:pStyle w:val="CEPATabletext"/>
              <w:rPr>
                <w:color w:val="auto"/>
              </w:rPr>
            </w:pPr>
          </w:p>
        </w:tc>
        <w:tc>
          <w:tcPr>
            <w:tcW w:w="1498" w:type="dxa"/>
            <w:vMerge/>
            <w:shd w:val="clear" w:color="auto" w:fill="auto"/>
          </w:tcPr>
          <w:p w14:paraId="07F57279" w14:textId="77777777" w:rsidR="00D97E3B" w:rsidRPr="00971F47" w:rsidRDefault="00D97E3B" w:rsidP="00873066">
            <w:pPr>
              <w:pStyle w:val="CEPATabletext"/>
              <w:rPr>
                <w:color w:val="auto"/>
              </w:rPr>
            </w:pPr>
          </w:p>
        </w:tc>
        <w:tc>
          <w:tcPr>
            <w:tcW w:w="1739" w:type="dxa"/>
            <w:shd w:val="clear" w:color="auto" w:fill="auto"/>
          </w:tcPr>
          <w:p w14:paraId="6E354AE5" w14:textId="77777777" w:rsidR="00D97E3B" w:rsidRPr="00971F47" w:rsidRDefault="00D97E3B" w:rsidP="00873066">
            <w:pPr>
              <w:pStyle w:val="CEPATabletext"/>
              <w:rPr>
                <w:color w:val="auto"/>
              </w:rPr>
            </w:pPr>
            <w:r w:rsidRPr="00971F47">
              <w:rPr>
                <w:color w:val="auto"/>
              </w:rPr>
              <w:t>Dr Arnold Jumbe</w:t>
            </w:r>
          </w:p>
        </w:tc>
        <w:tc>
          <w:tcPr>
            <w:tcW w:w="4363" w:type="dxa"/>
            <w:shd w:val="clear" w:color="auto" w:fill="auto"/>
          </w:tcPr>
          <w:p w14:paraId="0D872336" w14:textId="77777777" w:rsidR="00D97E3B" w:rsidRPr="00971F47" w:rsidRDefault="00D97E3B" w:rsidP="00873066">
            <w:pPr>
              <w:pStyle w:val="CEPATabletext"/>
              <w:rPr>
                <w:color w:val="auto"/>
              </w:rPr>
            </w:pPr>
            <w:r w:rsidRPr="00971F47">
              <w:rPr>
                <w:color w:val="auto"/>
              </w:rPr>
              <w:t>DHO Thyolo</w:t>
            </w:r>
          </w:p>
        </w:tc>
      </w:tr>
      <w:tr w:rsidR="00D97E3B" w:rsidRPr="00A11B68" w14:paraId="343E6875" w14:textId="77777777" w:rsidTr="005A30F9">
        <w:trPr>
          <w:trHeight w:val="186"/>
        </w:trPr>
        <w:tc>
          <w:tcPr>
            <w:tcW w:w="1467" w:type="dxa"/>
            <w:vMerge w:val="restart"/>
            <w:shd w:val="clear" w:color="auto" w:fill="auto"/>
          </w:tcPr>
          <w:p w14:paraId="0BE1FFAA" w14:textId="77777777" w:rsidR="00D97E3B" w:rsidRPr="00971F47" w:rsidRDefault="00D97E3B" w:rsidP="00873066">
            <w:pPr>
              <w:pStyle w:val="CEPATabletext"/>
              <w:rPr>
                <w:color w:val="auto"/>
              </w:rPr>
            </w:pPr>
            <w:r w:rsidRPr="00971F47">
              <w:rPr>
                <w:color w:val="auto"/>
              </w:rPr>
              <w:t>Other donors</w:t>
            </w:r>
          </w:p>
          <w:p w14:paraId="7819E2AA" w14:textId="77777777" w:rsidR="00D97E3B" w:rsidRPr="00971F47" w:rsidRDefault="00D97E3B" w:rsidP="00873066">
            <w:pPr>
              <w:pStyle w:val="CEPATabletext"/>
              <w:rPr>
                <w:color w:val="auto"/>
              </w:rPr>
            </w:pPr>
          </w:p>
        </w:tc>
        <w:tc>
          <w:tcPr>
            <w:tcW w:w="1498" w:type="dxa"/>
            <w:shd w:val="clear" w:color="auto" w:fill="auto"/>
          </w:tcPr>
          <w:p w14:paraId="14197FA8" w14:textId="77777777" w:rsidR="00D97E3B" w:rsidRPr="00971F47" w:rsidRDefault="00D97E3B" w:rsidP="00873066">
            <w:pPr>
              <w:pStyle w:val="CEPATabletext"/>
              <w:rPr>
                <w:color w:val="auto"/>
              </w:rPr>
            </w:pPr>
            <w:r w:rsidRPr="00971F47">
              <w:rPr>
                <w:color w:val="auto"/>
              </w:rPr>
              <w:t>CHAI</w:t>
            </w:r>
          </w:p>
        </w:tc>
        <w:tc>
          <w:tcPr>
            <w:tcW w:w="1739" w:type="dxa"/>
            <w:vMerge w:val="restart"/>
            <w:shd w:val="clear" w:color="auto" w:fill="auto"/>
          </w:tcPr>
          <w:p w14:paraId="31431916" w14:textId="77777777" w:rsidR="00D97E3B" w:rsidRPr="00971F47" w:rsidRDefault="00D97E3B" w:rsidP="00873066">
            <w:pPr>
              <w:pStyle w:val="CEPATabletext"/>
              <w:rPr>
                <w:color w:val="auto"/>
              </w:rPr>
            </w:pPr>
            <w:r w:rsidRPr="00971F47">
              <w:rPr>
                <w:color w:val="auto"/>
              </w:rPr>
              <w:t>Andrews Gunda</w:t>
            </w:r>
          </w:p>
        </w:tc>
        <w:tc>
          <w:tcPr>
            <w:tcW w:w="4363" w:type="dxa"/>
            <w:shd w:val="clear" w:color="auto" w:fill="auto"/>
          </w:tcPr>
          <w:p w14:paraId="76263EA6" w14:textId="77777777" w:rsidR="00D97E3B" w:rsidRPr="00971F47" w:rsidRDefault="00D97E3B" w:rsidP="00873066">
            <w:pPr>
              <w:pStyle w:val="CEPATabletext"/>
              <w:rPr>
                <w:color w:val="auto"/>
              </w:rPr>
            </w:pPr>
            <w:r w:rsidRPr="00971F47">
              <w:rPr>
                <w:color w:val="auto"/>
              </w:rPr>
              <w:t>CHAI Country Director and Lab Team</w:t>
            </w:r>
          </w:p>
        </w:tc>
      </w:tr>
      <w:tr w:rsidR="00D97E3B" w:rsidRPr="00A11B68" w14:paraId="1DC7F672" w14:textId="77777777" w:rsidTr="005A30F9">
        <w:trPr>
          <w:trHeight w:val="186"/>
        </w:trPr>
        <w:tc>
          <w:tcPr>
            <w:tcW w:w="1467" w:type="dxa"/>
            <w:vMerge/>
            <w:shd w:val="clear" w:color="auto" w:fill="auto"/>
          </w:tcPr>
          <w:p w14:paraId="593A179C" w14:textId="77777777" w:rsidR="00D97E3B" w:rsidRPr="00971F47" w:rsidRDefault="00D97E3B" w:rsidP="00873066">
            <w:pPr>
              <w:pStyle w:val="CEPATabletext"/>
            </w:pPr>
          </w:p>
        </w:tc>
        <w:tc>
          <w:tcPr>
            <w:tcW w:w="1498" w:type="dxa"/>
            <w:shd w:val="clear" w:color="auto" w:fill="auto"/>
          </w:tcPr>
          <w:p w14:paraId="24A8A3F9" w14:textId="77777777" w:rsidR="00D97E3B" w:rsidRPr="00971F47" w:rsidRDefault="00D97E3B" w:rsidP="00873066">
            <w:pPr>
              <w:pStyle w:val="CEPATabletext"/>
            </w:pPr>
            <w:r w:rsidRPr="003A7A9C">
              <w:rPr>
                <w:color w:val="auto"/>
              </w:rPr>
              <w:t xml:space="preserve">Global </w:t>
            </w:r>
            <w:r w:rsidRPr="003303D7">
              <w:rPr>
                <w:color w:val="auto"/>
              </w:rPr>
              <w:t>Fund CCM</w:t>
            </w:r>
          </w:p>
        </w:tc>
        <w:tc>
          <w:tcPr>
            <w:tcW w:w="1739" w:type="dxa"/>
            <w:vMerge/>
            <w:shd w:val="clear" w:color="auto" w:fill="auto"/>
          </w:tcPr>
          <w:p w14:paraId="74A75B4D" w14:textId="77777777" w:rsidR="00D97E3B" w:rsidRPr="00971F47" w:rsidRDefault="00D97E3B" w:rsidP="00873066">
            <w:pPr>
              <w:pStyle w:val="CEPATabletext"/>
            </w:pPr>
          </w:p>
        </w:tc>
        <w:tc>
          <w:tcPr>
            <w:tcW w:w="4363" w:type="dxa"/>
            <w:shd w:val="clear" w:color="auto" w:fill="auto"/>
          </w:tcPr>
          <w:p w14:paraId="53667CA0" w14:textId="77777777" w:rsidR="00D97E3B" w:rsidRPr="00971F47" w:rsidRDefault="00D97E3B" w:rsidP="00873066">
            <w:pPr>
              <w:pStyle w:val="CEPATabletext"/>
            </w:pPr>
            <w:r w:rsidRPr="003A7A9C">
              <w:rPr>
                <w:color w:val="auto"/>
              </w:rPr>
              <w:t>Chairman of the Oversight Committee of the CCM</w:t>
            </w:r>
          </w:p>
        </w:tc>
      </w:tr>
      <w:tr w:rsidR="00D97E3B" w:rsidRPr="00A11B68" w14:paraId="0098189C" w14:textId="77777777" w:rsidTr="005A30F9">
        <w:trPr>
          <w:trHeight w:val="186"/>
        </w:trPr>
        <w:tc>
          <w:tcPr>
            <w:tcW w:w="1467" w:type="dxa"/>
            <w:vMerge/>
            <w:shd w:val="clear" w:color="auto" w:fill="auto"/>
          </w:tcPr>
          <w:p w14:paraId="1B46319B" w14:textId="77777777" w:rsidR="00D97E3B" w:rsidRPr="00971F47" w:rsidRDefault="00D97E3B" w:rsidP="00873066">
            <w:pPr>
              <w:pStyle w:val="CEPATabletext"/>
              <w:rPr>
                <w:color w:val="auto"/>
              </w:rPr>
            </w:pPr>
          </w:p>
        </w:tc>
        <w:tc>
          <w:tcPr>
            <w:tcW w:w="1498" w:type="dxa"/>
            <w:shd w:val="clear" w:color="auto" w:fill="auto"/>
          </w:tcPr>
          <w:p w14:paraId="6EE9D801" w14:textId="77777777" w:rsidR="00D97E3B" w:rsidRPr="00971F47" w:rsidRDefault="00D97E3B" w:rsidP="00873066">
            <w:pPr>
              <w:pStyle w:val="CEPATabletext"/>
              <w:rPr>
                <w:color w:val="auto"/>
              </w:rPr>
            </w:pPr>
            <w:r w:rsidRPr="00971F47">
              <w:rPr>
                <w:color w:val="auto"/>
              </w:rPr>
              <w:t>USAID</w:t>
            </w:r>
          </w:p>
        </w:tc>
        <w:tc>
          <w:tcPr>
            <w:tcW w:w="1739" w:type="dxa"/>
            <w:shd w:val="clear" w:color="auto" w:fill="auto"/>
          </w:tcPr>
          <w:p w14:paraId="1C109042" w14:textId="77777777" w:rsidR="00D97E3B" w:rsidRPr="00971F47" w:rsidRDefault="00D97E3B" w:rsidP="00873066">
            <w:pPr>
              <w:pStyle w:val="CEPATabletext"/>
              <w:rPr>
                <w:color w:val="auto"/>
              </w:rPr>
            </w:pPr>
            <w:r w:rsidRPr="00971F47">
              <w:rPr>
                <w:color w:val="auto"/>
              </w:rPr>
              <w:t>Anteneh Worku</w:t>
            </w:r>
          </w:p>
        </w:tc>
        <w:tc>
          <w:tcPr>
            <w:tcW w:w="4363" w:type="dxa"/>
            <w:shd w:val="clear" w:color="auto" w:fill="auto"/>
          </w:tcPr>
          <w:p w14:paraId="427AEB0D" w14:textId="77777777" w:rsidR="00D97E3B" w:rsidRPr="00971F47" w:rsidRDefault="00D97E3B" w:rsidP="00873066">
            <w:pPr>
              <w:pStyle w:val="CEPATabletext"/>
              <w:rPr>
                <w:color w:val="auto"/>
              </w:rPr>
            </w:pPr>
            <w:r w:rsidRPr="00971F47">
              <w:rPr>
                <w:color w:val="auto"/>
              </w:rPr>
              <w:t>USAID HIV Treatment Advisor</w:t>
            </w:r>
          </w:p>
        </w:tc>
      </w:tr>
      <w:tr w:rsidR="00D97E3B" w:rsidRPr="00A11B68" w14:paraId="311F3343" w14:textId="77777777" w:rsidTr="005A30F9">
        <w:trPr>
          <w:trHeight w:val="186"/>
        </w:trPr>
        <w:tc>
          <w:tcPr>
            <w:tcW w:w="1467" w:type="dxa"/>
            <w:vMerge/>
            <w:shd w:val="clear" w:color="auto" w:fill="auto"/>
          </w:tcPr>
          <w:p w14:paraId="65F4C5B4" w14:textId="77777777" w:rsidR="00D97E3B" w:rsidRPr="00971F47" w:rsidRDefault="00D97E3B" w:rsidP="00873066">
            <w:pPr>
              <w:pStyle w:val="CEPATabletext"/>
              <w:rPr>
                <w:color w:val="auto"/>
              </w:rPr>
            </w:pPr>
          </w:p>
        </w:tc>
        <w:tc>
          <w:tcPr>
            <w:tcW w:w="1498" w:type="dxa"/>
            <w:vMerge w:val="restart"/>
            <w:shd w:val="clear" w:color="auto" w:fill="auto"/>
          </w:tcPr>
          <w:p w14:paraId="7A516A99" w14:textId="77777777" w:rsidR="00D97E3B" w:rsidRPr="00971F47" w:rsidRDefault="00D97E3B" w:rsidP="00873066">
            <w:pPr>
              <w:pStyle w:val="CEPATabletext"/>
              <w:rPr>
                <w:color w:val="auto"/>
              </w:rPr>
            </w:pPr>
            <w:r>
              <w:rPr>
                <w:color w:val="auto"/>
              </w:rPr>
              <w:t>CDC</w:t>
            </w:r>
          </w:p>
        </w:tc>
        <w:tc>
          <w:tcPr>
            <w:tcW w:w="1739" w:type="dxa"/>
            <w:shd w:val="clear" w:color="auto" w:fill="auto"/>
          </w:tcPr>
          <w:p w14:paraId="20735D94" w14:textId="77777777" w:rsidR="00D97E3B" w:rsidRPr="00971F47" w:rsidRDefault="00D97E3B" w:rsidP="00873066">
            <w:pPr>
              <w:pStyle w:val="CEPATabletext"/>
              <w:rPr>
                <w:color w:val="auto"/>
              </w:rPr>
            </w:pPr>
            <w:r w:rsidRPr="00971F47">
              <w:rPr>
                <w:color w:val="auto"/>
              </w:rPr>
              <w:t>Henry Mbah</w:t>
            </w:r>
          </w:p>
        </w:tc>
        <w:tc>
          <w:tcPr>
            <w:tcW w:w="4363" w:type="dxa"/>
            <w:shd w:val="clear" w:color="auto" w:fill="auto"/>
          </w:tcPr>
          <w:p w14:paraId="04D9C31F" w14:textId="77777777" w:rsidR="00D97E3B" w:rsidRPr="00971F47" w:rsidRDefault="00D97E3B" w:rsidP="00873066">
            <w:pPr>
              <w:pStyle w:val="CEPATabletext"/>
              <w:rPr>
                <w:color w:val="auto"/>
              </w:rPr>
            </w:pPr>
            <w:r w:rsidRPr="00971F47">
              <w:rPr>
                <w:color w:val="auto"/>
              </w:rPr>
              <w:t>Laboratory Advisor</w:t>
            </w:r>
          </w:p>
        </w:tc>
      </w:tr>
      <w:tr w:rsidR="00D97E3B" w:rsidRPr="00A11B68" w14:paraId="78891B86" w14:textId="77777777" w:rsidTr="005A30F9">
        <w:trPr>
          <w:trHeight w:val="186"/>
        </w:trPr>
        <w:tc>
          <w:tcPr>
            <w:tcW w:w="1467" w:type="dxa"/>
            <w:vMerge/>
            <w:shd w:val="clear" w:color="auto" w:fill="auto"/>
          </w:tcPr>
          <w:p w14:paraId="14FE5142" w14:textId="77777777" w:rsidR="00D97E3B" w:rsidRPr="00971F47" w:rsidRDefault="00D97E3B" w:rsidP="00873066">
            <w:pPr>
              <w:pStyle w:val="CEPATabletext"/>
              <w:rPr>
                <w:color w:val="auto"/>
              </w:rPr>
            </w:pPr>
          </w:p>
        </w:tc>
        <w:tc>
          <w:tcPr>
            <w:tcW w:w="1498" w:type="dxa"/>
            <w:vMerge/>
            <w:shd w:val="clear" w:color="auto" w:fill="auto"/>
          </w:tcPr>
          <w:p w14:paraId="7B800220" w14:textId="77777777" w:rsidR="00D97E3B" w:rsidRPr="00971F47" w:rsidRDefault="00D97E3B" w:rsidP="00873066">
            <w:pPr>
              <w:pStyle w:val="CEPATabletext"/>
              <w:rPr>
                <w:color w:val="auto"/>
              </w:rPr>
            </w:pPr>
          </w:p>
        </w:tc>
        <w:tc>
          <w:tcPr>
            <w:tcW w:w="1739" w:type="dxa"/>
            <w:shd w:val="clear" w:color="auto" w:fill="auto"/>
          </w:tcPr>
          <w:p w14:paraId="78DE8BD2" w14:textId="77777777" w:rsidR="00D97E3B" w:rsidRPr="00971F47" w:rsidRDefault="00D97E3B" w:rsidP="00873066">
            <w:pPr>
              <w:pStyle w:val="CEPATabletext"/>
              <w:rPr>
                <w:color w:val="auto"/>
              </w:rPr>
            </w:pPr>
            <w:r w:rsidRPr="00971F47">
              <w:rPr>
                <w:color w:val="auto"/>
              </w:rPr>
              <w:t>Alice Maida</w:t>
            </w:r>
          </w:p>
        </w:tc>
        <w:tc>
          <w:tcPr>
            <w:tcW w:w="4363" w:type="dxa"/>
            <w:shd w:val="clear" w:color="auto" w:fill="auto"/>
          </w:tcPr>
          <w:p w14:paraId="0CA6DD6B" w14:textId="77777777" w:rsidR="00D97E3B" w:rsidRPr="00971F47" w:rsidRDefault="00D97E3B" w:rsidP="00873066">
            <w:pPr>
              <w:pStyle w:val="CEPATabletext"/>
              <w:rPr>
                <w:color w:val="auto"/>
              </w:rPr>
            </w:pPr>
            <w:r w:rsidRPr="00971F47">
              <w:rPr>
                <w:color w:val="auto"/>
              </w:rPr>
              <w:t>Medical Officer</w:t>
            </w:r>
          </w:p>
        </w:tc>
      </w:tr>
      <w:tr w:rsidR="00D97E3B" w:rsidRPr="00A11B68" w14:paraId="0C77411D" w14:textId="77777777" w:rsidTr="005A30F9">
        <w:trPr>
          <w:trHeight w:val="186"/>
        </w:trPr>
        <w:tc>
          <w:tcPr>
            <w:tcW w:w="1467" w:type="dxa"/>
            <w:vMerge w:val="restart"/>
            <w:shd w:val="clear" w:color="auto" w:fill="auto"/>
          </w:tcPr>
          <w:p w14:paraId="3EF1D2B9" w14:textId="77777777" w:rsidR="00D97E3B" w:rsidRPr="00971F47" w:rsidRDefault="00D97E3B" w:rsidP="00873066">
            <w:pPr>
              <w:pStyle w:val="CEPATabletext"/>
              <w:rPr>
                <w:color w:val="auto"/>
              </w:rPr>
            </w:pPr>
            <w:r w:rsidRPr="00971F47">
              <w:rPr>
                <w:color w:val="auto"/>
              </w:rPr>
              <w:t>Implementing partner</w:t>
            </w:r>
          </w:p>
        </w:tc>
        <w:tc>
          <w:tcPr>
            <w:tcW w:w="1498" w:type="dxa"/>
            <w:vMerge w:val="restart"/>
            <w:shd w:val="clear" w:color="auto" w:fill="auto"/>
          </w:tcPr>
          <w:p w14:paraId="5E2DE48A" w14:textId="77777777" w:rsidR="00D97E3B" w:rsidRPr="00971F47" w:rsidRDefault="00D97E3B" w:rsidP="00873066">
            <w:pPr>
              <w:pStyle w:val="CEPATabletext"/>
              <w:rPr>
                <w:color w:val="auto"/>
              </w:rPr>
            </w:pPr>
            <w:r w:rsidRPr="00971F47" w:rsidDel="00AE745F">
              <w:rPr>
                <w:color w:val="auto"/>
              </w:rPr>
              <w:t>MSF</w:t>
            </w:r>
            <w:r>
              <w:rPr>
                <w:color w:val="auto"/>
              </w:rPr>
              <w:t xml:space="preserve"> Operational Centre Brussels (OCB)</w:t>
            </w:r>
          </w:p>
        </w:tc>
        <w:tc>
          <w:tcPr>
            <w:tcW w:w="1739" w:type="dxa"/>
            <w:shd w:val="clear" w:color="auto" w:fill="auto"/>
          </w:tcPr>
          <w:p w14:paraId="21A55A1A" w14:textId="77777777" w:rsidR="00D97E3B" w:rsidRPr="00971F47" w:rsidRDefault="00D97E3B" w:rsidP="00873066">
            <w:pPr>
              <w:pStyle w:val="CEPATabletext"/>
              <w:rPr>
                <w:color w:val="auto"/>
              </w:rPr>
            </w:pPr>
            <w:r w:rsidRPr="00971F47">
              <w:rPr>
                <w:color w:val="auto"/>
              </w:rPr>
              <w:t>Jacob Pidini</w:t>
            </w:r>
          </w:p>
        </w:tc>
        <w:tc>
          <w:tcPr>
            <w:tcW w:w="4363" w:type="dxa"/>
            <w:shd w:val="clear" w:color="auto" w:fill="auto"/>
          </w:tcPr>
          <w:p w14:paraId="5F7E545C" w14:textId="77777777" w:rsidR="00D97E3B" w:rsidRPr="00971F47" w:rsidRDefault="00D97E3B" w:rsidP="00873066">
            <w:pPr>
              <w:pStyle w:val="CEPATabletext"/>
              <w:rPr>
                <w:color w:val="auto"/>
              </w:rPr>
            </w:pPr>
            <w:r w:rsidRPr="00971F47">
              <w:rPr>
                <w:color w:val="auto"/>
              </w:rPr>
              <w:t>Thyolo, Activities Manager</w:t>
            </w:r>
          </w:p>
        </w:tc>
      </w:tr>
      <w:tr w:rsidR="00D97E3B" w:rsidRPr="00A11B68" w14:paraId="2CDAACC1" w14:textId="77777777" w:rsidTr="005A30F9">
        <w:trPr>
          <w:trHeight w:val="186"/>
        </w:trPr>
        <w:tc>
          <w:tcPr>
            <w:tcW w:w="1467" w:type="dxa"/>
            <w:vMerge/>
            <w:shd w:val="clear" w:color="auto" w:fill="auto"/>
          </w:tcPr>
          <w:p w14:paraId="5609BA65" w14:textId="77777777" w:rsidR="00D97E3B" w:rsidRPr="00971F47" w:rsidRDefault="00D97E3B" w:rsidP="00873066">
            <w:pPr>
              <w:pStyle w:val="CEPATabletext"/>
              <w:rPr>
                <w:color w:val="auto"/>
              </w:rPr>
            </w:pPr>
          </w:p>
        </w:tc>
        <w:tc>
          <w:tcPr>
            <w:tcW w:w="1498" w:type="dxa"/>
            <w:vMerge/>
            <w:shd w:val="clear" w:color="auto" w:fill="auto"/>
          </w:tcPr>
          <w:p w14:paraId="4E408BC2" w14:textId="77777777" w:rsidR="00D97E3B" w:rsidRPr="00971F47" w:rsidRDefault="00D97E3B" w:rsidP="00873066">
            <w:pPr>
              <w:pStyle w:val="CEPATabletext"/>
              <w:rPr>
                <w:color w:val="auto"/>
              </w:rPr>
            </w:pPr>
          </w:p>
        </w:tc>
        <w:tc>
          <w:tcPr>
            <w:tcW w:w="1739" w:type="dxa"/>
            <w:shd w:val="clear" w:color="auto" w:fill="auto"/>
          </w:tcPr>
          <w:p w14:paraId="1D3E6DDE" w14:textId="77777777" w:rsidR="00D97E3B" w:rsidRPr="00971F47" w:rsidRDefault="00D97E3B" w:rsidP="00873066">
            <w:pPr>
              <w:pStyle w:val="CEPATabletext"/>
              <w:rPr>
                <w:color w:val="auto"/>
              </w:rPr>
            </w:pPr>
            <w:r w:rsidRPr="00971F47">
              <w:rPr>
                <w:color w:val="auto"/>
              </w:rPr>
              <w:t>Ilse Casteels</w:t>
            </w:r>
          </w:p>
        </w:tc>
        <w:tc>
          <w:tcPr>
            <w:tcW w:w="4363" w:type="dxa"/>
            <w:shd w:val="clear" w:color="auto" w:fill="auto"/>
          </w:tcPr>
          <w:p w14:paraId="7F098FB2" w14:textId="77777777" w:rsidR="00D97E3B" w:rsidRPr="00971F47" w:rsidRDefault="00D97E3B" w:rsidP="00873066">
            <w:pPr>
              <w:pStyle w:val="CEPATabletext"/>
              <w:rPr>
                <w:color w:val="auto"/>
              </w:rPr>
            </w:pPr>
            <w:r w:rsidRPr="00971F47">
              <w:rPr>
                <w:color w:val="auto"/>
              </w:rPr>
              <w:t>Head of Mission</w:t>
            </w:r>
          </w:p>
        </w:tc>
      </w:tr>
      <w:tr w:rsidR="00D97E3B" w:rsidRPr="00A11B68" w14:paraId="2362C8CF" w14:textId="77777777" w:rsidTr="005A30F9">
        <w:trPr>
          <w:trHeight w:val="186"/>
        </w:trPr>
        <w:tc>
          <w:tcPr>
            <w:tcW w:w="1467" w:type="dxa"/>
            <w:vMerge/>
            <w:shd w:val="clear" w:color="auto" w:fill="auto"/>
          </w:tcPr>
          <w:p w14:paraId="5C224326" w14:textId="77777777" w:rsidR="00D97E3B" w:rsidRPr="00971F47" w:rsidRDefault="00D97E3B" w:rsidP="00873066">
            <w:pPr>
              <w:pStyle w:val="CEPATabletext"/>
              <w:rPr>
                <w:color w:val="auto"/>
              </w:rPr>
            </w:pPr>
          </w:p>
        </w:tc>
        <w:tc>
          <w:tcPr>
            <w:tcW w:w="1498" w:type="dxa"/>
            <w:vMerge/>
            <w:shd w:val="clear" w:color="auto" w:fill="auto"/>
          </w:tcPr>
          <w:p w14:paraId="2976FD3F" w14:textId="77777777" w:rsidR="00D97E3B" w:rsidRPr="00971F47" w:rsidRDefault="00D97E3B" w:rsidP="00873066">
            <w:pPr>
              <w:pStyle w:val="CEPATabletext"/>
              <w:rPr>
                <w:color w:val="auto"/>
              </w:rPr>
            </w:pPr>
          </w:p>
        </w:tc>
        <w:tc>
          <w:tcPr>
            <w:tcW w:w="1739" w:type="dxa"/>
            <w:shd w:val="clear" w:color="auto" w:fill="auto"/>
          </w:tcPr>
          <w:p w14:paraId="54DE17B4" w14:textId="77777777" w:rsidR="00D97E3B" w:rsidRPr="00971F47" w:rsidRDefault="00D97E3B" w:rsidP="00873066">
            <w:pPr>
              <w:pStyle w:val="CEPATabletext"/>
              <w:rPr>
                <w:color w:val="auto"/>
              </w:rPr>
            </w:pPr>
            <w:r w:rsidRPr="00971F47">
              <w:rPr>
                <w:color w:val="auto"/>
              </w:rPr>
              <w:t>Dr Reinaldo Ortuno</w:t>
            </w:r>
          </w:p>
        </w:tc>
        <w:tc>
          <w:tcPr>
            <w:tcW w:w="4363" w:type="dxa"/>
            <w:shd w:val="clear" w:color="auto" w:fill="auto"/>
          </w:tcPr>
          <w:p w14:paraId="6740289C" w14:textId="77777777" w:rsidR="00D97E3B" w:rsidRPr="00971F47" w:rsidRDefault="00D97E3B" w:rsidP="00873066">
            <w:pPr>
              <w:pStyle w:val="CEPATabletext"/>
              <w:rPr>
                <w:color w:val="auto"/>
              </w:rPr>
            </w:pPr>
            <w:r w:rsidRPr="00971F47">
              <w:rPr>
                <w:color w:val="auto"/>
              </w:rPr>
              <w:t>Medical Coordinator</w:t>
            </w:r>
          </w:p>
        </w:tc>
      </w:tr>
      <w:tr w:rsidR="00D97E3B" w:rsidRPr="00A11B68" w14:paraId="33608404" w14:textId="77777777" w:rsidTr="005A30F9">
        <w:trPr>
          <w:trHeight w:val="186"/>
        </w:trPr>
        <w:tc>
          <w:tcPr>
            <w:tcW w:w="1467" w:type="dxa"/>
            <w:vMerge/>
            <w:shd w:val="clear" w:color="auto" w:fill="auto"/>
          </w:tcPr>
          <w:p w14:paraId="1FBE6267" w14:textId="77777777" w:rsidR="00D97E3B" w:rsidRPr="00971F47" w:rsidRDefault="00D97E3B" w:rsidP="00873066">
            <w:pPr>
              <w:pStyle w:val="CEPATabletext"/>
              <w:rPr>
                <w:color w:val="auto"/>
              </w:rPr>
            </w:pPr>
          </w:p>
        </w:tc>
        <w:tc>
          <w:tcPr>
            <w:tcW w:w="1498" w:type="dxa"/>
            <w:vMerge w:val="restart"/>
            <w:shd w:val="clear" w:color="auto" w:fill="auto"/>
          </w:tcPr>
          <w:p w14:paraId="65D1BB8B" w14:textId="77777777" w:rsidR="00D97E3B" w:rsidRPr="00971F47" w:rsidRDefault="00D97E3B" w:rsidP="00873066">
            <w:pPr>
              <w:pStyle w:val="CEPATabletext"/>
              <w:rPr>
                <w:color w:val="auto"/>
              </w:rPr>
            </w:pPr>
            <w:r>
              <w:rPr>
                <w:color w:val="auto"/>
              </w:rPr>
              <w:t>MSF Operational Centre Paris (OCP)</w:t>
            </w:r>
          </w:p>
          <w:p w14:paraId="3A14B131" w14:textId="77777777" w:rsidR="00D97E3B" w:rsidRPr="00971F47" w:rsidRDefault="00D97E3B" w:rsidP="00873066">
            <w:pPr>
              <w:pStyle w:val="CEPATabletext"/>
              <w:rPr>
                <w:color w:val="auto"/>
              </w:rPr>
            </w:pPr>
          </w:p>
        </w:tc>
        <w:tc>
          <w:tcPr>
            <w:tcW w:w="1739" w:type="dxa"/>
            <w:shd w:val="clear" w:color="auto" w:fill="auto"/>
          </w:tcPr>
          <w:p w14:paraId="46DE7BA5" w14:textId="77777777" w:rsidR="00D97E3B" w:rsidRPr="00971F47" w:rsidRDefault="00D97E3B" w:rsidP="00873066">
            <w:pPr>
              <w:pStyle w:val="CEPATabletext"/>
              <w:rPr>
                <w:color w:val="auto"/>
              </w:rPr>
            </w:pPr>
            <w:r w:rsidRPr="00971F47">
              <w:rPr>
                <w:color w:val="auto"/>
              </w:rPr>
              <w:t>Cyrus Paye</w:t>
            </w:r>
          </w:p>
        </w:tc>
        <w:tc>
          <w:tcPr>
            <w:tcW w:w="4363" w:type="dxa"/>
            <w:shd w:val="clear" w:color="auto" w:fill="auto"/>
          </w:tcPr>
          <w:p w14:paraId="603A306C" w14:textId="77777777" w:rsidR="00D97E3B" w:rsidRPr="00971F47" w:rsidRDefault="00D97E3B" w:rsidP="00873066">
            <w:pPr>
              <w:pStyle w:val="CEPATabletext"/>
              <w:rPr>
                <w:color w:val="auto"/>
              </w:rPr>
            </w:pPr>
            <w:r w:rsidRPr="00971F47">
              <w:rPr>
                <w:color w:val="auto"/>
              </w:rPr>
              <w:t>Project Coordinator</w:t>
            </w:r>
          </w:p>
        </w:tc>
      </w:tr>
      <w:tr w:rsidR="00D97E3B" w:rsidRPr="00A11B68" w14:paraId="2ED7E7AD" w14:textId="77777777" w:rsidTr="005A30F9">
        <w:trPr>
          <w:trHeight w:val="186"/>
        </w:trPr>
        <w:tc>
          <w:tcPr>
            <w:tcW w:w="1467" w:type="dxa"/>
            <w:vMerge/>
            <w:shd w:val="clear" w:color="auto" w:fill="auto"/>
          </w:tcPr>
          <w:p w14:paraId="18B54CB2" w14:textId="77777777" w:rsidR="00D97E3B" w:rsidRPr="00971F47" w:rsidRDefault="00D97E3B" w:rsidP="00873066">
            <w:pPr>
              <w:pStyle w:val="CEPATabletext"/>
              <w:rPr>
                <w:color w:val="auto"/>
              </w:rPr>
            </w:pPr>
          </w:p>
        </w:tc>
        <w:tc>
          <w:tcPr>
            <w:tcW w:w="1498" w:type="dxa"/>
            <w:vMerge/>
            <w:shd w:val="clear" w:color="auto" w:fill="auto"/>
          </w:tcPr>
          <w:p w14:paraId="7E4C07D3" w14:textId="77777777" w:rsidR="00D97E3B" w:rsidRPr="00971F47" w:rsidRDefault="00D97E3B" w:rsidP="00873066">
            <w:pPr>
              <w:pStyle w:val="CEPATabletext"/>
              <w:rPr>
                <w:color w:val="auto"/>
              </w:rPr>
            </w:pPr>
          </w:p>
        </w:tc>
        <w:tc>
          <w:tcPr>
            <w:tcW w:w="1739" w:type="dxa"/>
            <w:shd w:val="clear" w:color="auto" w:fill="auto"/>
          </w:tcPr>
          <w:p w14:paraId="45D52E93" w14:textId="77777777" w:rsidR="00D97E3B" w:rsidRPr="00971F47" w:rsidRDefault="00D97E3B" w:rsidP="00873066">
            <w:pPr>
              <w:pStyle w:val="CEPATabletext"/>
              <w:rPr>
                <w:color w:val="auto"/>
              </w:rPr>
            </w:pPr>
            <w:r w:rsidRPr="00971F47">
              <w:rPr>
                <w:color w:val="auto"/>
              </w:rPr>
              <w:t>Adriana Palomares</w:t>
            </w:r>
          </w:p>
        </w:tc>
        <w:tc>
          <w:tcPr>
            <w:tcW w:w="4363" w:type="dxa"/>
            <w:shd w:val="clear" w:color="auto" w:fill="auto"/>
          </w:tcPr>
          <w:p w14:paraId="1E68A03C" w14:textId="77777777" w:rsidR="00D97E3B" w:rsidRPr="00971F47" w:rsidRDefault="00D97E3B" w:rsidP="00873066">
            <w:pPr>
              <w:pStyle w:val="CEPATabletext"/>
              <w:rPr>
                <w:color w:val="auto"/>
              </w:rPr>
            </w:pPr>
            <w:r w:rsidRPr="00971F47">
              <w:rPr>
                <w:color w:val="auto"/>
              </w:rPr>
              <w:t>Head of Mission</w:t>
            </w:r>
          </w:p>
        </w:tc>
      </w:tr>
      <w:tr w:rsidR="00D97E3B" w:rsidRPr="00A11B68" w14:paraId="4BDC3FFC" w14:textId="77777777" w:rsidTr="005A30F9">
        <w:trPr>
          <w:trHeight w:val="186"/>
        </w:trPr>
        <w:tc>
          <w:tcPr>
            <w:tcW w:w="1467" w:type="dxa"/>
            <w:vMerge/>
            <w:shd w:val="clear" w:color="auto" w:fill="auto"/>
          </w:tcPr>
          <w:p w14:paraId="2BDFB56F" w14:textId="77777777" w:rsidR="00D97E3B" w:rsidRPr="00971F47" w:rsidRDefault="00D97E3B" w:rsidP="00873066">
            <w:pPr>
              <w:pStyle w:val="CEPATabletext"/>
              <w:rPr>
                <w:color w:val="auto"/>
              </w:rPr>
            </w:pPr>
          </w:p>
        </w:tc>
        <w:tc>
          <w:tcPr>
            <w:tcW w:w="1498" w:type="dxa"/>
            <w:vMerge/>
            <w:shd w:val="clear" w:color="auto" w:fill="auto"/>
          </w:tcPr>
          <w:p w14:paraId="40403825" w14:textId="77777777" w:rsidR="00D97E3B" w:rsidRPr="00971F47" w:rsidRDefault="00D97E3B" w:rsidP="00873066">
            <w:pPr>
              <w:pStyle w:val="CEPATabletext"/>
              <w:rPr>
                <w:color w:val="auto"/>
              </w:rPr>
            </w:pPr>
          </w:p>
        </w:tc>
        <w:tc>
          <w:tcPr>
            <w:tcW w:w="1739" w:type="dxa"/>
            <w:shd w:val="clear" w:color="auto" w:fill="auto"/>
          </w:tcPr>
          <w:p w14:paraId="7AB6AE97" w14:textId="77777777" w:rsidR="00D97E3B" w:rsidRPr="00971F47" w:rsidRDefault="00D97E3B" w:rsidP="00873066">
            <w:pPr>
              <w:pStyle w:val="CEPATabletext"/>
              <w:rPr>
                <w:color w:val="auto"/>
              </w:rPr>
            </w:pPr>
            <w:r w:rsidRPr="00971F47">
              <w:rPr>
                <w:color w:val="auto"/>
              </w:rPr>
              <w:t>Robert Keango</w:t>
            </w:r>
          </w:p>
        </w:tc>
        <w:tc>
          <w:tcPr>
            <w:tcW w:w="4363" w:type="dxa"/>
            <w:shd w:val="clear" w:color="auto" w:fill="auto"/>
          </w:tcPr>
          <w:p w14:paraId="4D54DE2D" w14:textId="77777777" w:rsidR="00D97E3B" w:rsidRPr="00971F47" w:rsidRDefault="00D97E3B" w:rsidP="00873066">
            <w:pPr>
              <w:pStyle w:val="CEPATabletext"/>
              <w:rPr>
                <w:color w:val="auto"/>
              </w:rPr>
            </w:pPr>
            <w:r w:rsidRPr="00971F47">
              <w:rPr>
                <w:color w:val="auto"/>
              </w:rPr>
              <w:t>Medical Coordinator</w:t>
            </w:r>
          </w:p>
        </w:tc>
      </w:tr>
      <w:tr w:rsidR="00D97E3B" w:rsidRPr="00A11B68" w14:paraId="14230D33" w14:textId="77777777" w:rsidTr="005A30F9">
        <w:trPr>
          <w:trHeight w:val="186"/>
        </w:trPr>
        <w:tc>
          <w:tcPr>
            <w:tcW w:w="1467" w:type="dxa"/>
            <w:vMerge/>
            <w:shd w:val="clear" w:color="auto" w:fill="auto"/>
          </w:tcPr>
          <w:p w14:paraId="5B8F8601" w14:textId="77777777" w:rsidR="00D97E3B" w:rsidRPr="00971F47" w:rsidRDefault="00D97E3B" w:rsidP="00873066">
            <w:pPr>
              <w:pStyle w:val="CEPATabletext"/>
            </w:pPr>
          </w:p>
        </w:tc>
        <w:tc>
          <w:tcPr>
            <w:tcW w:w="1498" w:type="dxa"/>
            <w:vMerge/>
            <w:shd w:val="clear" w:color="auto" w:fill="auto"/>
          </w:tcPr>
          <w:p w14:paraId="2C14BDF0" w14:textId="77777777" w:rsidR="00D97E3B" w:rsidRPr="00971F47" w:rsidRDefault="00D97E3B" w:rsidP="00873066">
            <w:pPr>
              <w:pStyle w:val="CEPATabletext"/>
            </w:pPr>
          </w:p>
        </w:tc>
        <w:tc>
          <w:tcPr>
            <w:tcW w:w="1739" w:type="dxa"/>
            <w:shd w:val="clear" w:color="auto" w:fill="auto"/>
          </w:tcPr>
          <w:p w14:paraId="32C77768" w14:textId="77777777" w:rsidR="00D97E3B" w:rsidRPr="00E670D5" w:rsidRDefault="00D97E3B" w:rsidP="00873066">
            <w:pPr>
              <w:pStyle w:val="CEPATabletext"/>
              <w:rPr>
                <w:color w:val="auto"/>
              </w:rPr>
            </w:pPr>
            <w:r w:rsidRPr="00EA5313">
              <w:rPr>
                <w:color w:val="auto"/>
              </w:rPr>
              <w:t>John Sekibibi</w:t>
            </w:r>
          </w:p>
        </w:tc>
        <w:tc>
          <w:tcPr>
            <w:tcW w:w="4363" w:type="dxa"/>
            <w:shd w:val="clear" w:color="auto" w:fill="auto"/>
          </w:tcPr>
          <w:p w14:paraId="293C94BE" w14:textId="77777777" w:rsidR="00D97E3B" w:rsidRPr="00E670D5" w:rsidRDefault="00D97E3B" w:rsidP="00873066">
            <w:pPr>
              <w:pStyle w:val="CEPATabletext"/>
              <w:rPr>
                <w:color w:val="auto"/>
              </w:rPr>
            </w:pPr>
            <w:r>
              <w:rPr>
                <w:color w:val="auto"/>
              </w:rPr>
              <w:t>Medical Focal Point</w:t>
            </w:r>
          </w:p>
        </w:tc>
      </w:tr>
      <w:tr w:rsidR="00D97E3B" w:rsidRPr="00A11B68" w14:paraId="7250B4AB" w14:textId="77777777" w:rsidTr="005A30F9">
        <w:trPr>
          <w:trHeight w:val="186"/>
        </w:trPr>
        <w:tc>
          <w:tcPr>
            <w:tcW w:w="1467" w:type="dxa"/>
            <w:vMerge/>
            <w:shd w:val="clear" w:color="auto" w:fill="auto"/>
          </w:tcPr>
          <w:p w14:paraId="1FBE1EA4" w14:textId="77777777" w:rsidR="00D97E3B" w:rsidRPr="00971F47" w:rsidRDefault="00D97E3B" w:rsidP="00873066">
            <w:pPr>
              <w:pStyle w:val="CEPATabletext"/>
            </w:pPr>
          </w:p>
        </w:tc>
        <w:tc>
          <w:tcPr>
            <w:tcW w:w="1498" w:type="dxa"/>
            <w:vMerge/>
            <w:shd w:val="clear" w:color="auto" w:fill="auto"/>
          </w:tcPr>
          <w:p w14:paraId="5BAA4D7F" w14:textId="77777777" w:rsidR="00D97E3B" w:rsidRPr="00971F47" w:rsidRDefault="00D97E3B" w:rsidP="00873066">
            <w:pPr>
              <w:pStyle w:val="CEPATabletext"/>
            </w:pPr>
          </w:p>
        </w:tc>
        <w:tc>
          <w:tcPr>
            <w:tcW w:w="1739" w:type="dxa"/>
            <w:shd w:val="clear" w:color="auto" w:fill="auto"/>
          </w:tcPr>
          <w:p w14:paraId="2F6BEBC3" w14:textId="77777777" w:rsidR="00D97E3B" w:rsidRPr="00E670D5" w:rsidRDefault="00D97E3B" w:rsidP="00873066">
            <w:pPr>
              <w:pStyle w:val="CEPATabletext"/>
              <w:rPr>
                <w:color w:val="auto"/>
              </w:rPr>
            </w:pPr>
            <w:r>
              <w:rPr>
                <w:color w:val="auto"/>
              </w:rPr>
              <w:t>Natalia Castgon</w:t>
            </w:r>
          </w:p>
        </w:tc>
        <w:tc>
          <w:tcPr>
            <w:tcW w:w="4363" w:type="dxa"/>
            <w:shd w:val="clear" w:color="auto" w:fill="auto"/>
          </w:tcPr>
          <w:p w14:paraId="5A405D86" w14:textId="78F8073C" w:rsidR="00D97E3B" w:rsidRPr="00E670D5" w:rsidRDefault="00D97E3B" w:rsidP="00873066">
            <w:pPr>
              <w:pStyle w:val="CEPATabletext"/>
              <w:rPr>
                <w:color w:val="auto"/>
              </w:rPr>
            </w:pPr>
            <w:r>
              <w:rPr>
                <w:color w:val="auto"/>
              </w:rPr>
              <w:t>Point of Care Manager</w:t>
            </w:r>
          </w:p>
        </w:tc>
      </w:tr>
      <w:tr w:rsidR="00D97E3B" w:rsidRPr="00A11B68" w14:paraId="3B1398B0" w14:textId="77777777" w:rsidTr="005A30F9">
        <w:trPr>
          <w:trHeight w:val="186"/>
        </w:trPr>
        <w:tc>
          <w:tcPr>
            <w:tcW w:w="1467" w:type="dxa"/>
            <w:vMerge/>
            <w:shd w:val="clear" w:color="auto" w:fill="auto"/>
          </w:tcPr>
          <w:p w14:paraId="1D2FFFE8" w14:textId="77777777" w:rsidR="00D97E3B" w:rsidRPr="00971F47" w:rsidRDefault="00D97E3B" w:rsidP="00873066">
            <w:pPr>
              <w:pStyle w:val="CEPATabletext"/>
            </w:pPr>
          </w:p>
        </w:tc>
        <w:tc>
          <w:tcPr>
            <w:tcW w:w="1498" w:type="dxa"/>
            <w:vMerge/>
            <w:shd w:val="clear" w:color="auto" w:fill="auto"/>
          </w:tcPr>
          <w:p w14:paraId="55791D74" w14:textId="77777777" w:rsidR="00D97E3B" w:rsidRPr="00971F47" w:rsidRDefault="00D97E3B" w:rsidP="00873066">
            <w:pPr>
              <w:pStyle w:val="CEPATabletext"/>
            </w:pPr>
          </w:p>
        </w:tc>
        <w:tc>
          <w:tcPr>
            <w:tcW w:w="1739" w:type="dxa"/>
            <w:shd w:val="clear" w:color="auto" w:fill="auto"/>
          </w:tcPr>
          <w:p w14:paraId="226BD17F" w14:textId="77777777" w:rsidR="00D97E3B" w:rsidRPr="00E670D5" w:rsidRDefault="00D97E3B" w:rsidP="00873066">
            <w:pPr>
              <w:pStyle w:val="CEPATabletext"/>
              <w:rPr>
                <w:color w:val="auto"/>
              </w:rPr>
            </w:pPr>
            <w:r>
              <w:rPr>
                <w:color w:val="auto"/>
              </w:rPr>
              <w:t>Rachel Masinga</w:t>
            </w:r>
          </w:p>
        </w:tc>
        <w:tc>
          <w:tcPr>
            <w:tcW w:w="4363" w:type="dxa"/>
            <w:shd w:val="clear" w:color="auto" w:fill="auto"/>
          </w:tcPr>
          <w:p w14:paraId="1D50AD43" w14:textId="77777777" w:rsidR="00D97E3B" w:rsidRPr="00D44FB5" w:rsidRDefault="00D97E3B" w:rsidP="00873066">
            <w:pPr>
              <w:pStyle w:val="CEPATabletext"/>
              <w:rPr>
                <w:color w:val="auto"/>
              </w:rPr>
            </w:pPr>
            <w:r>
              <w:rPr>
                <w:color w:val="auto"/>
              </w:rPr>
              <w:t>HC Laboratory Manager DBS-TB</w:t>
            </w:r>
          </w:p>
        </w:tc>
      </w:tr>
      <w:tr w:rsidR="00D97E3B" w:rsidRPr="00A11B68" w14:paraId="4D7AF6EC" w14:textId="77777777" w:rsidTr="005A30F9">
        <w:trPr>
          <w:trHeight w:val="186"/>
        </w:trPr>
        <w:tc>
          <w:tcPr>
            <w:tcW w:w="1467" w:type="dxa"/>
            <w:vMerge w:val="restart"/>
            <w:shd w:val="clear" w:color="auto" w:fill="auto"/>
          </w:tcPr>
          <w:p w14:paraId="79D57E5C" w14:textId="77777777" w:rsidR="00D97E3B" w:rsidRPr="00971F47" w:rsidRDefault="00D97E3B" w:rsidP="00873066">
            <w:pPr>
              <w:pStyle w:val="CEPATabletext"/>
              <w:rPr>
                <w:color w:val="auto"/>
              </w:rPr>
            </w:pPr>
            <w:r w:rsidRPr="00971F47">
              <w:rPr>
                <w:color w:val="auto"/>
              </w:rPr>
              <w:t>Health facilities</w:t>
            </w:r>
          </w:p>
          <w:p w14:paraId="0E5D9B3E" w14:textId="77777777" w:rsidR="00D97E3B" w:rsidRPr="00971F47" w:rsidRDefault="00D97E3B" w:rsidP="00873066">
            <w:pPr>
              <w:pStyle w:val="CEPATabletext"/>
              <w:rPr>
                <w:color w:val="auto"/>
              </w:rPr>
            </w:pPr>
          </w:p>
        </w:tc>
        <w:tc>
          <w:tcPr>
            <w:tcW w:w="1498" w:type="dxa"/>
            <w:vMerge w:val="restart"/>
            <w:shd w:val="clear" w:color="auto" w:fill="auto"/>
          </w:tcPr>
          <w:p w14:paraId="38194AE7" w14:textId="77777777" w:rsidR="00D97E3B" w:rsidRPr="00971F47" w:rsidRDefault="00D97E3B" w:rsidP="00873066">
            <w:pPr>
              <w:pStyle w:val="CEPATabletext"/>
              <w:jc w:val="left"/>
              <w:rPr>
                <w:color w:val="auto"/>
              </w:rPr>
            </w:pPr>
            <w:r w:rsidRPr="00971F47">
              <w:rPr>
                <w:color w:val="auto"/>
              </w:rPr>
              <w:t>Thyolo District Hospital</w:t>
            </w:r>
          </w:p>
        </w:tc>
        <w:tc>
          <w:tcPr>
            <w:tcW w:w="1739" w:type="dxa"/>
            <w:shd w:val="clear" w:color="auto" w:fill="auto"/>
          </w:tcPr>
          <w:p w14:paraId="3D5B4E4B" w14:textId="77777777" w:rsidR="00D97E3B" w:rsidRPr="00971F47" w:rsidRDefault="00D97E3B" w:rsidP="00873066">
            <w:pPr>
              <w:pStyle w:val="CEPATabletext"/>
              <w:rPr>
                <w:color w:val="auto"/>
              </w:rPr>
            </w:pPr>
            <w:r w:rsidRPr="00971F47">
              <w:rPr>
                <w:color w:val="auto"/>
              </w:rPr>
              <w:t>Lameck Mkuntha</w:t>
            </w:r>
          </w:p>
        </w:tc>
        <w:tc>
          <w:tcPr>
            <w:tcW w:w="4363" w:type="dxa"/>
            <w:shd w:val="clear" w:color="auto" w:fill="auto"/>
          </w:tcPr>
          <w:p w14:paraId="72D76CEF" w14:textId="77777777" w:rsidR="00D97E3B" w:rsidRPr="00971F47" w:rsidRDefault="00D97E3B" w:rsidP="00873066">
            <w:pPr>
              <w:pStyle w:val="CEPATabletext"/>
              <w:rPr>
                <w:color w:val="auto"/>
              </w:rPr>
            </w:pPr>
            <w:r w:rsidRPr="00971F47">
              <w:rPr>
                <w:color w:val="auto"/>
              </w:rPr>
              <w:t>Lab</w:t>
            </w:r>
            <w:r>
              <w:rPr>
                <w:color w:val="auto"/>
              </w:rPr>
              <w:t>oratory</w:t>
            </w:r>
            <w:r w:rsidRPr="00971F47">
              <w:rPr>
                <w:color w:val="auto"/>
              </w:rPr>
              <w:t xml:space="preserve"> Technician</w:t>
            </w:r>
          </w:p>
        </w:tc>
      </w:tr>
      <w:tr w:rsidR="00D97E3B" w:rsidRPr="00A11B68" w14:paraId="2B7ADB4D" w14:textId="77777777" w:rsidTr="005A30F9">
        <w:trPr>
          <w:trHeight w:val="186"/>
        </w:trPr>
        <w:tc>
          <w:tcPr>
            <w:tcW w:w="1467" w:type="dxa"/>
            <w:vMerge/>
            <w:shd w:val="clear" w:color="auto" w:fill="auto"/>
          </w:tcPr>
          <w:p w14:paraId="015F9D5F" w14:textId="77777777" w:rsidR="00D97E3B" w:rsidRPr="00971F47" w:rsidRDefault="00D97E3B" w:rsidP="00873066">
            <w:pPr>
              <w:pStyle w:val="CEPATabletext"/>
              <w:rPr>
                <w:color w:val="auto"/>
              </w:rPr>
            </w:pPr>
          </w:p>
        </w:tc>
        <w:tc>
          <w:tcPr>
            <w:tcW w:w="1498" w:type="dxa"/>
            <w:vMerge/>
            <w:shd w:val="clear" w:color="auto" w:fill="auto"/>
          </w:tcPr>
          <w:p w14:paraId="4C24ECA0" w14:textId="77777777" w:rsidR="00D97E3B" w:rsidRPr="00971F47" w:rsidRDefault="00D97E3B" w:rsidP="00873066">
            <w:pPr>
              <w:pStyle w:val="CEPATabletext"/>
              <w:jc w:val="left"/>
              <w:rPr>
                <w:color w:val="auto"/>
              </w:rPr>
            </w:pPr>
          </w:p>
        </w:tc>
        <w:tc>
          <w:tcPr>
            <w:tcW w:w="1739" w:type="dxa"/>
            <w:shd w:val="clear" w:color="auto" w:fill="auto"/>
          </w:tcPr>
          <w:p w14:paraId="3F9688EC" w14:textId="77777777" w:rsidR="00D97E3B" w:rsidRPr="00971F47" w:rsidRDefault="00D97E3B" w:rsidP="00873066">
            <w:pPr>
              <w:pStyle w:val="CEPATabletext"/>
              <w:rPr>
                <w:color w:val="auto"/>
              </w:rPr>
            </w:pPr>
            <w:r w:rsidRPr="00971F47">
              <w:rPr>
                <w:color w:val="auto"/>
              </w:rPr>
              <w:t>Nancy Kayenda</w:t>
            </w:r>
          </w:p>
        </w:tc>
        <w:tc>
          <w:tcPr>
            <w:tcW w:w="4363" w:type="dxa"/>
            <w:shd w:val="clear" w:color="auto" w:fill="auto"/>
          </w:tcPr>
          <w:p w14:paraId="0D0FA007" w14:textId="77777777" w:rsidR="00D97E3B" w:rsidRPr="00971F47" w:rsidRDefault="00D97E3B" w:rsidP="00873066">
            <w:pPr>
              <w:pStyle w:val="CEPATabletext"/>
              <w:rPr>
                <w:color w:val="auto"/>
              </w:rPr>
            </w:pPr>
            <w:r w:rsidRPr="00971F47">
              <w:rPr>
                <w:color w:val="auto"/>
              </w:rPr>
              <w:t>Lab</w:t>
            </w:r>
            <w:r>
              <w:rPr>
                <w:color w:val="auto"/>
              </w:rPr>
              <w:t>oratory</w:t>
            </w:r>
            <w:r w:rsidRPr="00971F47">
              <w:rPr>
                <w:color w:val="auto"/>
              </w:rPr>
              <w:t xml:space="preserve"> Technician</w:t>
            </w:r>
          </w:p>
        </w:tc>
      </w:tr>
      <w:tr w:rsidR="00D97E3B" w:rsidRPr="00A11B68" w14:paraId="11DC8E88" w14:textId="77777777" w:rsidTr="005A30F9">
        <w:trPr>
          <w:trHeight w:val="186"/>
        </w:trPr>
        <w:tc>
          <w:tcPr>
            <w:tcW w:w="1467" w:type="dxa"/>
            <w:vMerge/>
            <w:shd w:val="clear" w:color="auto" w:fill="auto"/>
          </w:tcPr>
          <w:p w14:paraId="233BD9A3" w14:textId="77777777" w:rsidR="00D97E3B" w:rsidRPr="00971F47" w:rsidRDefault="00D97E3B" w:rsidP="00873066">
            <w:pPr>
              <w:pStyle w:val="CEPATabletext"/>
              <w:rPr>
                <w:color w:val="auto"/>
              </w:rPr>
            </w:pPr>
          </w:p>
        </w:tc>
        <w:tc>
          <w:tcPr>
            <w:tcW w:w="1498" w:type="dxa"/>
            <w:vMerge/>
            <w:shd w:val="clear" w:color="auto" w:fill="auto"/>
          </w:tcPr>
          <w:p w14:paraId="4A1912B0" w14:textId="77777777" w:rsidR="00D97E3B" w:rsidRPr="00971F47" w:rsidRDefault="00D97E3B" w:rsidP="00873066">
            <w:pPr>
              <w:pStyle w:val="CEPATabletext"/>
              <w:jc w:val="left"/>
              <w:rPr>
                <w:color w:val="auto"/>
              </w:rPr>
            </w:pPr>
          </w:p>
        </w:tc>
        <w:tc>
          <w:tcPr>
            <w:tcW w:w="1739" w:type="dxa"/>
            <w:shd w:val="clear" w:color="auto" w:fill="auto"/>
          </w:tcPr>
          <w:p w14:paraId="3EEEC6ED" w14:textId="77777777" w:rsidR="00D97E3B" w:rsidRPr="00971F47" w:rsidRDefault="00D97E3B" w:rsidP="00873066">
            <w:pPr>
              <w:pStyle w:val="CEPATabletext"/>
              <w:rPr>
                <w:color w:val="auto"/>
              </w:rPr>
            </w:pPr>
            <w:r w:rsidRPr="00971F47">
              <w:rPr>
                <w:color w:val="auto"/>
              </w:rPr>
              <w:t>Jones Mhango</w:t>
            </w:r>
          </w:p>
        </w:tc>
        <w:tc>
          <w:tcPr>
            <w:tcW w:w="4363" w:type="dxa"/>
            <w:shd w:val="clear" w:color="auto" w:fill="auto"/>
          </w:tcPr>
          <w:p w14:paraId="69523588" w14:textId="77777777" w:rsidR="00D97E3B" w:rsidRPr="00971F47" w:rsidRDefault="00D97E3B" w:rsidP="00873066">
            <w:pPr>
              <w:pStyle w:val="CEPATabletext"/>
              <w:rPr>
                <w:color w:val="auto"/>
              </w:rPr>
            </w:pPr>
            <w:r w:rsidRPr="00971F47">
              <w:rPr>
                <w:color w:val="auto"/>
              </w:rPr>
              <w:t>Lab</w:t>
            </w:r>
            <w:r>
              <w:rPr>
                <w:color w:val="auto"/>
              </w:rPr>
              <w:t>oratory</w:t>
            </w:r>
            <w:r w:rsidRPr="00971F47">
              <w:rPr>
                <w:color w:val="auto"/>
              </w:rPr>
              <w:t xml:space="preserve"> Technician</w:t>
            </w:r>
          </w:p>
        </w:tc>
      </w:tr>
      <w:tr w:rsidR="00D97E3B" w:rsidRPr="00A11B68" w14:paraId="45030493" w14:textId="77777777" w:rsidTr="005A30F9">
        <w:trPr>
          <w:trHeight w:val="186"/>
        </w:trPr>
        <w:tc>
          <w:tcPr>
            <w:tcW w:w="1467" w:type="dxa"/>
            <w:vMerge/>
            <w:shd w:val="clear" w:color="auto" w:fill="auto"/>
          </w:tcPr>
          <w:p w14:paraId="5554AF01" w14:textId="77777777" w:rsidR="00D97E3B" w:rsidRPr="00971F47" w:rsidRDefault="00D97E3B" w:rsidP="00873066">
            <w:pPr>
              <w:pStyle w:val="CEPATabletext"/>
              <w:rPr>
                <w:color w:val="auto"/>
              </w:rPr>
            </w:pPr>
          </w:p>
        </w:tc>
        <w:tc>
          <w:tcPr>
            <w:tcW w:w="1498" w:type="dxa"/>
            <w:vMerge w:val="restart"/>
            <w:shd w:val="clear" w:color="auto" w:fill="auto"/>
          </w:tcPr>
          <w:p w14:paraId="2CCA8AA9" w14:textId="77777777" w:rsidR="00D97E3B" w:rsidRPr="00971F47" w:rsidRDefault="00D97E3B" w:rsidP="00873066">
            <w:pPr>
              <w:pStyle w:val="CEPATabletext"/>
              <w:jc w:val="left"/>
              <w:rPr>
                <w:color w:val="auto"/>
              </w:rPr>
            </w:pPr>
            <w:r w:rsidRPr="00971F47">
              <w:rPr>
                <w:color w:val="auto"/>
              </w:rPr>
              <w:t>Clinic</w:t>
            </w:r>
            <w:r>
              <w:rPr>
                <w:color w:val="auto"/>
              </w:rPr>
              <w:t xml:space="preserve">, </w:t>
            </w:r>
            <w:r w:rsidRPr="00971F47">
              <w:rPr>
                <w:color w:val="auto"/>
              </w:rPr>
              <w:t>Thyolo District</w:t>
            </w:r>
          </w:p>
        </w:tc>
        <w:tc>
          <w:tcPr>
            <w:tcW w:w="1739" w:type="dxa"/>
            <w:shd w:val="clear" w:color="auto" w:fill="auto"/>
          </w:tcPr>
          <w:p w14:paraId="7136524E" w14:textId="77777777" w:rsidR="00D97E3B" w:rsidRPr="00971F47" w:rsidRDefault="00D97E3B" w:rsidP="00873066">
            <w:pPr>
              <w:pStyle w:val="CEPATabletext"/>
              <w:rPr>
                <w:color w:val="auto"/>
              </w:rPr>
            </w:pPr>
            <w:r w:rsidRPr="00971F47">
              <w:rPr>
                <w:color w:val="auto"/>
              </w:rPr>
              <w:t>Celina Kamankdola</w:t>
            </w:r>
          </w:p>
        </w:tc>
        <w:tc>
          <w:tcPr>
            <w:tcW w:w="4363" w:type="dxa"/>
            <w:shd w:val="clear" w:color="auto" w:fill="auto"/>
          </w:tcPr>
          <w:p w14:paraId="4C005D2A" w14:textId="77777777" w:rsidR="00D97E3B" w:rsidRPr="00971F47" w:rsidRDefault="00D97E3B" w:rsidP="00873066">
            <w:pPr>
              <w:pStyle w:val="CEPATabletext"/>
              <w:rPr>
                <w:color w:val="auto"/>
              </w:rPr>
            </w:pPr>
            <w:r w:rsidRPr="00971F47">
              <w:rPr>
                <w:color w:val="auto"/>
              </w:rPr>
              <w:t>Medical Assistant, clinic in Thyolo District</w:t>
            </w:r>
          </w:p>
        </w:tc>
      </w:tr>
      <w:tr w:rsidR="00D97E3B" w:rsidRPr="00A11B68" w14:paraId="6DC12614" w14:textId="77777777" w:rsidTr="005A30F9">
        <w:trPr>
          <w:trHeight w:val="186"/>
        </w:trPr>
        <w:tc>
          <w:tcPr>
            <w:tcW w:w="1467" w:type="dxa"/>
            <w:vMerge/>
            <w:shd w:val="clear" w:color="auto" w:fill="auto"/>
          </w:tcPr>
          <w:p w14:paraId="1FD35FF5" w14:textId="77777777" w:rsidR="00D97E3B" w:rsidRPr="00971F47" w:rsidRDefault="00D97E3B" w:rsidP="00873066">
            <w:pPr>
              <w:pStyle w:val="CEPATabletext"/>
            </w:pPr>
          </w:p>
        </w:tc>
        <w:tc>
          <w:tcPr>
            <w:tcW w:w="1498" w:type="dxa"/>
            <w:vMerge/>
            <w:shd w:val="clear" w:color="auto" w:fill="auto"/>
          </w:tcPr>
          <w:p w14:paraId="0B150AB5" w14:textId="77777777" w:rsidR="00D97E3B" w:rsidRPr="00971F47" w:rsidRDefault="00D97E3B" w:rsidP="00873066">
            <w:pPr>
              <w:pStyle w:val="CEPATabletext"/>
              <w:jc w:val="left"/>
            </w:pPr>
          </w:p>
        </w:tc>
        <w:tc>
          <w:tcPr>
            <w:tcW w:w="1739" w:type="dxa"/>
            <w:shd w:val="clear" w:color="auto" w:fill="auto"/>
          </w:tcPr>
          <w:p w14:paraId="414866EB" w14:textId="77777777" w:rsidR="00D97E3B" w:rsidRPr="00971F47" w:rsidRDefault="00D97E3B" w:rsidP="00873066">
            <w:pPr>
              <w:pStyle w:val="CEPATabletext"/>
            </w:pPr>
          </w:p>
        </w:tc>
        <w:tc>
          <w:tcPr>
            <w:tcW w:w="4363" w:type="dxa"/>
            <w:shd w:val="clear" w:color="auto" w:fill="auto"/>
          </w:tcPr>
          <w:p w14:paraId="11A122CF" w14:textId="77777777" w:rsidR="00D97E3B" w:rsidRPr="00971F47" w:rsidRDefault="00D97E3B" w:rsidP="00873066">
            <w:pPr>
              <w:pStyle w:val="CEPATabletext"/>
            </w:pPr>
            <w:r w:rsidRPr="003A7A9C">
              <w:rPr>
                <w:color w:val="auto"/>
              </w:rPr>
              <w:t>Beneficiary</w:t>
            </w:r>
          </w:p>
        </w:tc>
      </w:tr>
      <w:tr w:rsidR="00310134" w:rsidRPr="00A11B68" w14:paraId="24294C23" w14:textId="77777777" w:rsidTr="005A30F9">
        <w:trPr>
          <w:trHeight w:val="186"/>
        </w:trPr>
        <w:tc>
          <w:tcPr>
            <w:tcW w:w="1467" w:type="dxa"/>
            <w:vMerge/>
            <w:shd w:val="clear" w:color="auto" w:fill="auto"/>
          </w:tcPr>
          <w:p w14:paraId="25DEC707" w14:textId="77777777" w:rsidR="00310134" w:rsidRPr="00971F47" w:rsidRDefault="00310134" w:rsidP="00873066">
            <w:pPr>
              <w:pStyle w:val="CEPATabletext"/>
            </w:pPr>
          </w:p>
        </w:tc>
        <w:tc>
          <w:tcPr>
            <w:tcW w:w="1498" w:type="dxa"/>
            <w:vMerge w:val="restart"/>
            <w:shd w:val="clear" w:color="auto" w:fill="auto"/>
          </w:tcPr>
          <w:p w14:paraId="6E861176" w14:textId="77777777" w:rsidR="00310134" w:rsidRPr="003303D7" w:rsidRDefault="00310134" w:rsidP="00873066">
            <w:pPr>
              <w:pStyle w:val="CEPATabletext"/>
              <w:rPr>
                <w:color w:val="auto"/>
              </w:rPr>
            </w:pPr>
            <w:r w:rsidRPr="003303D7">
              <w:rPr>
                <w:color w:val="auto"/>
              </w:rPr>
              <w:t>Chiradzulu District Hospital</w:t>
            </w:r>
          </w:p>
        </w:tc>
        <w:tc>
          <w:tcPr>
            <w:tcW w:w="1739" w:type="dxa"/>
            <w:shd w:val="clear" w:color="auto" w:fill="auto"/>
          </w:tcPr>
          <w:p w14:paraId="2858C55E" w14:textId="77777777" w:rsidR="00310134" w:rsidRPr="003303D7" w:rsidRDefault="00310134" w:rsidP="00873066">
            <w:pPr>
              <w:pStyle w:val="CEPATabletext"/>
              <w:rPr>
                <w:color w:val="auto"/>
              </w:rPr>
            </w:pPr>
            <w:r w:rsidRPr="003303D7">
              <w:rPr>
                <w:color w:val="auto"/>
              </w:rPr>
              <w:t>Rachel Kamba</w:t>
            </w:r>
          </w:p>
        </w:tc>
        <w:tc>
          <w:tcPr>
            <w:tcW w:w="4363" w:type="dxa"/>
            <w:shd w:val="clear" w:color="auto" w:fill="auto"/>
          </w:tcPr>
          <w:p w14:paraId="70987765" w14:textId="77777777" w:rsidR="00310134" w:rsidRPr="003303D7" w:rsidRDefault="00310134" w:rsidP="00873066">
            <w:pPr>
              <w:pStyle w:val="CEPATabletext"/>
              <w:rPr>
                <w:color w:val="auto"/>
              </w:rPr>
            </w:pPr>
            <w:r w:rsidRPr="003303D7">
              <w:rPr>
                <w:color w:val="auto"/>
              </w:rPr>
              <w:t>Clinical Officer</w:t>
            </w:r>
          </w:p>
        </w:tc>
      </w:tr>
      <w:tr w:rsidR="00310134" w:rsidRPr="00A11B68" w14:paraId="35D7CBEC" w14:textId="77777777" w:rsidTr="005A30F9">
        <w:trPr>
          <w:trHeight w:val="186"/>
        </w:trPr>
        <w:tc>
          <w:tcPr>
            <w:tcW w:w="1467" w:type="dxa"/>
            <w:vMerge/>
            <w:shd w:val="clear" w:color="auto" w:fill="auto"/>
          </w:tcPr>
          <w:p w14:paraId="5F5AAAA9" w14:textId="77777777" w:rsidR="00310134" w:rsidRPr="00971F47" w:rsidRDefault="00310134" w:rsidP="00873066">
            <w:pPr>
              <w:pStyle w:val="CEPATabletext"/>
            </w:pPr>
          </w:p>
        </w:tc>
        <w:tc>
          <w:tcPr>
            <w:tcW w:w="1498" w:type="dxa"/>
            <w:vMerge/>
            <w:shd w:val="clear" w:color="auto" w:fill="auto"/>
          </w:tcPr>
          <w:p w14:paraId="34520E54" w14:textId="77777777" w:rsidR="00310134" w:rsidRPr="003303D7" w:rsidRDefault="00310134" w:rsidP="00873066">
            <w:pPr>
              <w:pStyle w:val="CEPATabletext"/>
              <w:rPr>
                <w:color w:val="auto"/>
              </w:rPr>
            </w:pPr>
          </w:p>
        </w:tc>
        <w:tc>
          <w:tcPr>
            <w:tcW w:w="1739" w:type="dxa"/>
            <w:shd w:val="clear" w:color="auto" w:fill="auto"/>
          </w:tcPr>
          <w:p w14:paraId="4AFC8CCC" w14:textId="77777777" w:rsidR="00310134" w:rsidRPr="003303D7" w:rsidRDefault="00310134" w:rsidP="00873066">
            <w:pPr>
              <w:pStyle w:val="CEPATabletext"/>
              <w:rPr>
                <w:color w:val="auto"/>
              </w:rPr>
            </w:pPr>
            <w:r w:rsidRPr="003303D7">
              <w:rPr>
                <w:color w:val="auto"/>
              </w:rPr>
              <w:t>Tambudzai Misasa</w:t>
            </w:r>
          </w:p>
        </w:tc>
        <w:tc>
          <w:tcPr>
            <w:tcW w:w="4363" w:type="dxa"/>
            <w:shd w:val="clear" w:color="auto" w:fill="auto"/>
          </w:tcPr>
          <w:p w14:paraId="55B2579B" w14:textId="77777777" w:rsidR="00310134" w:rsidRPr="003303D7" w:rsidRDefault="00310134" w:rsidP="00873066">
            <w:pPr>
              <w:pStyle w:val="CEPATabletext"/>
              <w:rPr>
                <w:color w:val="auto"/>
              </w:rPr>
            </w:pPr>
            <w:r w:rsidRPr="003303D7">
              <w:rPr>
                <w:color w:val="auto"/>
              </w:rPr>
              <w:t>Laboratory technician</w:t>
            </w:r>
          </w:p>
        </w:tc>
      </w:tr>
      <w:tr w:rsidR="00310134" w:rsidRPr="00A11B68" w14:paraId="65E15F55" w14:textId="77777777" w:rsidTr="005A30F9">
        <w:trPr>
          <w:trHeight w:val="186"/>
        </w:trPr>
        <w:tc>
          <w:tcPr>
            <w:tcW w:w="1467" w:type="dxa"/>
            <w:vMerge/>
            <w:shd w:val="clear" w:color="auto" w:fill="auto"/>
          </w:tcPr>
          <w:p w14:paraId="32B6E4D1" w14:textId="77777777" w:rsidR="00310134" w:rsidRPr="00971F47" w:rsidRDefault="00310134" w:rsidP="00873066">
            <w:pPr>
              <w:pStyle w:val="CEPATabletext"/>
            </w:pPr>
          </w:p>
        </w:tc>
        <w:tc>
          <w:tcPr>
            <w:tcW w:w="1498" w:type="dxa"/>
            <w:vMerge/>
            <w:shd w:val="clear" w:color="auto" w:fill="auto"/>
          </w:tcPr>
          <w:p w14:paraId="2D74F5BA" w14:textId="77777777" w:rsidR="00310134" w:rsidRPr="003303D7" w:rsidRDefault="00310134" w:rsidP="00873066">
            <w:pPr>
              <w:pStyle w:val="CEPATabletext"/>
              <w:rPr>
                <w:color w:val="auto"/>
              </w:rPr>
            </w:pPr>
          </w:p>
        </w:tc>
        <w:tc>
          <w:tcPr>
            <w:tcW w:w="1739" w:type="dxa"/>
            <w:shd w:val="clear" w:color="auto" w:fill="auto"/>
          </w:tcPr>
          <w:p w14:paraId="7B03A534" w14:textId="77777777" w:rsidR="00310134" w:rsidRPr="003303D7" w:rsidRDefault="00310134" w:rsidP="00873066">
            <w:pPr>
              <w:pStyle w:val="CEPATabletext"/>
              <w:rPr>
                <w:color w:val="auto"/>
              </w:rPr>
            </w:pPr>
            <w:r w:rsidRPr="003303D7">
              <w:rPr>
                <w:color w:val="auto"/>
              </w:rPr>
              <w:t xml:space="preserve">Euster Maluza, </w:t>
            </w:r>
          </w:p>
        </w:tc>
        <w:tc>
          <w:tcPr>
            <w:tcW w:w="4363" w:type="dxa"/>
            <w:shd w:val="clear" w:color="auto" w:fill="auto"/>
          </w:tcPr>
          <w:p w14:paraId="55E5A46A" w14:textId="77777777" w:rsidR="00310134" w:rsidRPr="003303D7" w:rsidRDefault="00310134" w:rsidP="00873066">
            <w:pPr>
              <w:pStyle w:val="CEPATabletext"/>
              <w:rPr>
                <w:color w:val="auto"/>
              </w:rPr>
            </w:pPr>
            <w:r w:rsidRPr="003303D7">
              <w:rPr>
                <w:color w:val="auto"/>
              </w:rPr>
              <w:t>Laboratory clerk</w:t>
            </w:r>
          </w:p>
        </w:tc>
      </w:tr>
      <w:tr w:rsidR="00310134" w:rsidRPr="00A11B68" w14:paraId="6B570FB0" w14:textId="77777777" w:rsidTr="005A30F9">
        <w:trPr>
          <w:trHeight w:val="186"/>
        </w:trPr>
        <w:tc>
          <w:tcPr>
            <w:tcW w:w="1467" w:type="dxa"/>
            <w:vMerge/>
            <w:shd w:val="clear" w:color="auto" w:fill="auto"/>
          </w:tcPr>
          <w:p w14:paraId="12131E24" w14:textId="77777777" w:rsidR="00310134" w:rsidRPr="00971F47" w:rsidRDefault="00310134" w:rsidP="00873066">
            <w:pPr>
              <w:pStyle w:val="CEPATabletext"/>
            </w:pPr>
          </w:p>
        </w:tc>
        <w:tc>
          <w:tcPr>
            <w:tcW w:w="1498" w:type="dxa"/>
            <w:vMerge/>
            <w:shd w:val="clear" w:color="auto" w:fill="auto"/>
          </w:tcPr>
          <w:p w14:paraId="027811E4" w14:textId="77777777" w:rsidR="00310134" w:rsidRDefault="00310134" w:rsidP="00873066">
            <w:pPr>
              <w:pStyle w:val="CEPATabletext"/>
              <w:jc w:val="left"/>
            </w:pPr>
          </w:p>
        </w:tc>
        <w:tc>
          <w:tcPr>
            <w:tcW w:w="1739" w:type="dxa"/>
            <w:shd w:val="clear" w:color="auto" w:fill="auto"/>
          </w:tcPr>
          <w:p w14:paraId="5352FDE4" w14:textId="77777777" w:rsidR="00310134" w:rsidRPr="003303D7" w:rsidRDefault="00310134" w:rsidP="00873066">
            <w:pPr>
              <w:pStyle w:val="CEPATabletext"/>
              <w:rPr>
                <w:color w:val="auto"/>
              </w:rPr>
            </w:pPr>
            <w:r w:rsidRPr="003303D7">
              <w:rPr>
                <w:color w:val="auto"/>
              </w:rPr>
              <w:t xml:space="preserve">Lidia Moyo, </w:t>
            </w:r>
          </w:p>
        </w:tc>
        <w:tc>
          <w:tcPr>
            <w:tcW w:w="4363" w:type="dxa"/>
            <w:shd w:val="clear" w:color="auto" w:fill="auto"/>
          </w:tcPr>
          <w:p w14:paraId="31E2F829" w14:textId="77777777" w:rsidR="00310134" w:rsidRPr="003303D7" w:rsidRDefault="00310134" w:rsidP="00873066">
            <w:pPr>
              <w:pStyle w:val="CEPATabletext"/>
              <w:rPr>
                <w:color w:val="auto"/>
              </w:rPr>
            </w:pPr>
            <w:r w:rsidRPr="003303D7">
              <w:rPr>
                <w:color w:val="auto"/>
              </w:rPr>
              <w:t>Laboratory Manager</w:t>
            </w:r>
          </w:p>
        </w:tc>
      </w:tr>
      <w:tr w:rsidR="00310134" w:rsidRPr="00A11B68" w14:paraId="4BE97FD8" w14:textId="77777777" w:rsidTr="005A30F9">
        <w:trPr>
          <w:trHeight w:val="63"/>
        </w:trPr>
        <w:tc>
          <w:tcPr>
            <w:tcW w:w="1467" w:type="dxa"/>
            <w:vMerge/>
            <w:shd w:val="clear" w:color="auto" w:fill="auto"/>
          </w:tcPr>
          <w:p w14:paraId="0601C821" w14:textId="77777777" w:rsidR="00310134" w:rsidRPr="00971F47" w:rsidRDefault="00310134" w:rsidP="00873066">
            <w:pPr>
              <w:pStyle w:val="CEPATabletext"/>
            </w:pPr>
          </w:p>
        </w:tc>
        <w:tc>
          <w:tcPr>
            <w:tcW w:w="1498" w:type="dxa"/>
            <w:vMerge/>
            <w:shd w:val="clear" w:color="auto" w:fill="auto"/>
          </w:tcPr>
          <w:p w14:paraId="0D6750C4" w14:textId="77777777" w:rsidR="00310134" w:rsidRDefault="00310134" w:rsidP="00873066">
            <w:pPr>
              <w:pStyle w:val="CEPATabletext"/>
              <w:jc w:val="left"/>
            </w:pPr>
          </w:p>
        </w:tc>
        <w:tc>
          <w:tcPr>
            <w:tcW w:w="1739" w:type="dxa"/>
            <w:shd w:val="clear" w:color="auto" w:fill="auto"/>
          </w:tcPr>
          <w:p w14:paraId="4F921A36" w14:textId="77777777" w:rsidR="00310134" w:rsidRPr="003303D7" w:rsidRDefault="00310134" w:rsidP="00873066">
            <w:pPr>
              <w:pStyle w:val="CEPATabletext"/>
              <w:rPr>
                <w:color w:val="auto"/>
              </w:rPr>
            </w:pPr>
            <w:r w:rsidRPr="003303D7">
              <w:rPr>
                <w:color w:val="auto"/>
              </w:rPr>
              <w:t xml:space="preserve">Patricia Zaunda, </w:t>
            </w:r>
          </w:p>
        </w:tc>
        <w:tc>
          <w:tcPr>
            <w:tcW w:w="4363" w:type="dxa"/>
            <w:shd w:val="clear" w:color="auto" w:fill="auto"/>
          </w:tcPr>
          <w:p w14:paraId="33046D7F" w14:textId="77777777" w:rsidR="00310134" w:rsidRPr="003303D7" w:rsidRDefault="00310134" w:rsidP="00873066">
            <w:pPr>
              <w:pStyle w:val="CEPATabletext"/>
              <w:rPr>
                <w:color w:val="auto"/>
              </w:rPr>
            </w:pPr>
            <w:r w:rsidRPr="003303D7">
              <w:rPr>
                <w:color w:val="auto"/>
              </w:rPr>
              <w:t>Psychosocial Counsellor</w:t>
            </w:r>
          </w:p>
        </w:tc>
      </w:tr>
    </w:tbl>
    <w:p w14:paraId="7257900E" w14:textId="262F357D" w:rsidR="00D97E3B" w:rsidRDefault="00D97E3B" w:rsidP="00622296">
      <w:pPr>
        <w:pStyle w:val="Heading8"/>
      </w:pPr>
      <w:r>
        <w:t>Interview Guides</w:t>
      </w:r>
    </w:p>
    <w:p w14:paraId="766AA650" w14:textId="526C32AA" w:rsidR="00873066" w:rsidRPr="00873066" w:rsidRDefault="00873066" w:rsidP="00873066">
      <w:pPr>
        <w:pStyle w:val="CEPAReportText"/>
      </w:pPr>
      <w:r>
        <w:t xml:space="preserve">Key interview guides are included below. Further interview guides were adapted for specific consultees (especially at the country level) and have not been included here for the sake of brevity. </w:t>
      </w:r>
    </w:p>
    <w:p w14:paraId="68DFEE29" w14:textId="78277658" w:rsidR="005B3974" w:rsidRPr="005B3974" w:rsidRDefault="00D97E3B" w:rsidP="005B3974">
      <w:pPr>
        <w:pStyle w:val="Heading9"/>
      </w:pPr>
      <w:r>
        <w:t xml:space="preserve">MSF </w:t>
      </w:r>
    </w:p>
    <w:p w14:paraId="0582F9DD" w14:textId="77777777" w:rsidR="00AA1151" w:rsidRPr="00AA1151" w:rsidRDefault="00D97E3B" w:rsidP="00846486">
      <w:pPr>
        <w:pStyle w:val="Default"/>
        <w:numPr>
          <w:ilvl w:val="0"/>
          <w:numId w:val="14"/>
        </w:numPr>
        <w:spacing w:before="120" w:after="120" w:line="276" w:lineRule="auto"/>
        <w:ind w:left="425" w:hanging="425"/>
      </w:pPr>
      <w:r w:rsidRPr="00873066">
        <w:t xml:space="preserve">Please provide an overview of the project in terms of the main objectives, areas of work/ main activities and aspects that worked well and less well. </w:t>
      </w:r>
    </w:p>
    <w:p w14:paraId="13F85E98" w14:textId="77777777" w:rsidR="00D97E3B" w:rsidRDefault="00D97E3B" w:rsidP="00873066">
      <w:pPr>
        <w:pStyle w:val="Default"/>
        <w:spacing w:line="276" w:lineRule="auto"/>
      </w:pPr>
      <w:r w:rsidRPr="00873066">
        <w:rPr>
          <w:i/>
          <w:iCs/>
        </w:rPr>
        <w:t xml:space="preserve">Key questions </w:t>
      </w:r>
    </w:p>
    <w:p w14:paraId="3A51A21E" w14:textId="77777777" w:rsidR="00D97E3B" w:rsidRDefault="00D97E3B" w:rsidP="00846486">
      <w:pPr>
        <w:pStyle w:val="Default"/>
        <w:numPr>
          <w:ilvl w:val="0"/>
          <w:numId w:val="14"/>
        </w:numPr>
        <w:spacing w:before="120" w:after="120" w:line="276" w:lineRule="auto"/>
        <w:ind w:left="425" w:hanging="425"/>
      </w:pPr>
      <w:r w:rsidRPr="00873066">
        <w:t xml:space="preserve">What was the basis for selection of the project countries and project sites? What were the main types of models employed across project countries/ sites and how were these planned for (considering aspects such as level of facility, diagnostic technology in use, engagement with government, forward and backward linkages, etc., across the VL, CD4 and EID components of the project)? </w:t>
      </w:r>
    </w:p>
    <w:p w14:paraId="68C53BE0" w14:textId="77777777" w:rsidR="00D97E3B" w:rsidRDefault="00D97E3B" w:rsidP="00846486">
      <w:pPr>
        <w:pStyle w:val="Default"/>
        <w:numPr>
          <w:ilvl w:val="0"/>
          <w:numId w:val="14"/>
        </w:numPr>
        <w:spacing w:before="120" w:after="120" w:line="276" w:lineRule="auto"/>
        <w:ind w:left="425" w:hanging="425"/>
      </w:pPr>
      <w:r w:rsidRPr="00873066">
        <w:t xml:space="preserve">What were key successes and challenges in introduction of the respective diagnostic technologies across project sites/ countries? What has been the key learnings in terms of what has worked well and less well? </w:t>
      </w:r>
    </w:p>
    <w:p w14:paraId="7196FE8D" w14:textId="77777777" w:rsidR="00D97E3B" w:rsidRDefault="00D97E3B" w:rsidP="00846486">
      <w:pPr>
        <w:pStyle w:val="Default"/>
        <w:numPr>
          <w:ilvl w:val="0"/>
          <w:numId w:val="14"/>
        </w:numPr>
        <w:spacing w:before="120" w:after="120" w:line="276" w:lineRule="auto"/>
        <w:ind w:left="425" w:hanging="425"/>
      </w:pPr>
      <w:r w:rsidRPr="00873066">
        <w:t xml:space="preserve">What learning is there on more efficient and effective testing? For example, has there been financial and health systems efficiencies and/ or more effective targeting/ reach of key populations? </w:t>
      </w:r>
    </w:p>
    <w:p w14:paraId="48B062EE" w14:textId="77777777" w:rsidR="00D97E3B" w:rsidRDefault="00D97E3B" w:rsidP="00846486">
      <w:pPr>
        <w:pStyle w:val="Default"/>
        <w:numPr>
          <w:ilvl w:val="0"/>
          <w:numId w:val="14"/>
        </w:numPr>
        <w:spacing w:before="120" w:after="120" w:line="276" w:lineRule="auto"/>
        <w:ind w:left="425" w:hanging="425"/>
      </w:pPr>
      <w:r w:rsidRPr="00873066">
        <w:t xml:space="preserve">What has been the public health impact of the project from decentralised testing and disease monitoring (direct and indirect) and is this aligned with expectations? </w:t>
      </w:r>
    </w:p>
    <w:p w14:paraId="31D01A1B" w14:textId="77777777" w:rsidR="00D97E3B" w:rsidRDefault="00D97E3B" w:rsidP="00846486">
      <w:pPr>
        <w:pStyle w:val="Default"/>
        <w:numPr>
          <w:ilvl w:val="0"/>
          <w:numId w:val="14"/>
        </w:numPr>
        <w:spacing w:before="120" w:after="120" w:line="276" w:lineRule="auto"/>
        <w:ind w:left="425" w:hanging="425"/>
      </w:pPr>
      <w:r w:rsidRPr="00873066">
        <w:t>To what extent has the project contributed to addressing critical market barriers in terms of facilitating demand and adoption, including updating of global and country level policy? Has the project evidence and communications supported policy development?</w:t>
      </w:r>
    </w:p>
    <w:p w14:paraId="178648E4" w14:textId="77777777" w:rsidR="00D97E3B" w:rsidRPr="00873066" w:rsidRDefault="00D97E3B" w:rsidP="00846486">
      <w:pPr>
        <w:pStyle w:val="Default"/>
        <w:numPr>
          <w:ilvl w:val="0"/>
          <w:numId w:val="14"/>
        </w:numPr>
        <w:spacing w:before="120" w:after="120" w:line="276" w:lineRule="auto"/>
        <w:ind w:left="425" w:hanging="425"/>
      </w:pPr>
      <w:r w:rsidRPr="00873066">
        <w:t xml:space="preserve">Have the project activities been sustained since project closure? Has the project laid the foundation for scale-up of HIV monitoring and testing? </w:t>
      </w:r>
    </w:p>
    <w:p w14:paraId="43AF6FC0" w14:textId="77777777" w:rsidR="00D97E3B" w:rsidRDefault="00D97E3B" w:rsidP="00873066">
      <w:pPr>
        <w:pStyle w:val="Default"/>
        <w:spacing w:line="276" w:lineRule="auto"/>
      </w:pPr>
      <w:r w:rsidRPr="00873066">
        <w:rPr>
          <w:i/>
          <w:iCs/>
        </w:rPr>
        <w:t xml:space="preserve">Other questions </w:t>
      </w:r>
    </w:p>
    <w:p w14:paraId="3C5EE9E6" w14:textId="70C1E18E" w:rsidR="00D97E3B" w:rsidRDefault="00D97E3B" w:rsidP="00846486">
      <w:pPr>
        <w:pStyle w:val="Default"/>
        <w:numPr>
          <w:ilvl w:val="0"/>
          <w:numId w:val="14"/>
        </w:numPr>
        <w:spacing w:before="120" w:after="120" w:line="276" w:lineRule="auto"/>
        <w:ind w:left="425" w:hanging="425"/>
      </w:pPr>
      <w:r w:rsidRPr="00873066">
        <w:t xml:space="preserve">To what extent has the project been relevant and aligned with the global guidelines and policies for HIV as well as the work of other actors (including other related </w:t>
      </w:r>
      <w:r w:rsidR="00B55E9C">
        <w:t>Unitaid</w:t>
      </w:r>
      <w:r w:rsidRPr="00873066">
        <w:t xml:space="preserve"> grants on POC diagnostics)? </w:t>
      </w:r>
    </w:p>
    <w:p w14:paraId="203FEB88" w14:textId="77777777" w:rsidR="00D97E3B" w:rsidRDefault="00D97E3B" w:rsidP="00846486">
      <w:pPr>
        <w:pStyle w:val="Default"/>
        <w:numPr>
          <w:ilvl w:val="0"/>
          <w:numId w:val="14"/>
        </w:numPr>
        <w:spacing w:before="120" w:after="120" w:line="276" w:lineRule="auto"/>
        <w:ind w:left="425" w:hanging="425"/>
      </w:pPr>
      <w:r w:rsidRPr="00873066">
        <w:t xml:space="preserve">Has the project been efficiently delivered, considering aspects such as adherence to planned budgets, procurement activity and timelines as well as overall project management and coordination? </w:t>
      </w:r>
    </w:p>
    <w:p w14:paraId="396E9907" w14:textId="77777777" w:rsidR="00D97E3B" w:rsidRPr="00873066" w:rsidRDefault="00D97E3B" w:rsidP="00873066">
      <w:pPr>
        <w:pStyle w:val="Default"/>
        <w:spacing w:line="276" w:lineRule="auto"/>
      </w:pPr>
      <w:r w:rsidRPr="00873066">
        <w:rPr>
          <w:i/>
        </w:rPr>
        <w:t>Lessons learnt and recommendations</w:t>
      </w:r>
    </w:p>
    <w:p w14:paraId="62F1862B" w14:textId="154944AF" w:rsidR="00D97E3B" w:rsidRPr="00873066" w:rsidRDefault="00D97E3B" w:rsidP="00846486">
      <w:pPr>
        <w:pStyle w:val="Default"/>
        <w:numPr>
          <w:ilvl w:val="0"/>
          <w:numId w:val="14"/>
        </w:numPr>
        <w:spacing w:before="120" w:after="120" w:line="276" w:lineRule="auto"/>
        <w:ind w:left="425" w:hanging="425"/>
      </w:pPr>
      <w:r w:rsidRPr="00873066">
        <w:t xml:space="preserve">What are the main lessons learnt from the implementation of the grant and related recommendations including with respect to </w:t>
      </w:r>
      <w:r w:rsidR="00B55E9C">
        <w:t>Unitaid</w:t>
      </w:r>
      <w:r w:rsidRPr="00873066">
        <w:t xml:space="preserve"> funding, grantee performance, further work required in the POC HIV diagnostics space and any other aspects? </w:t>
      </w:r>
    </w:p>
    <w:p w14:paraId="4D3F5713" w14:textId="13B06C74" w:rsidR="00D97E3B" w:rsidRDefault="00D97E3B" w:rsidP="00EA3416">
      <w:pPr>
        <w:pStyle w:val="Heading9"/>
      </w:pPr>
      <w:r>
        <w:t>Global Partners (USAID, CDC, CHAI)</w:t>
      </w:r>
    </w:p>
    <w:p w14:paraId="11FC51B7" w14:textId="74EEEDDB" w:rsidR="00D97E3B" w:rsidRPr="00873066" w:rsidRDefault="00D97E3B" w:rsidP="00846486">
      <w:pPr>
        <w:pStyle w:val="ListParagraph"/>
        <w:numPr>
          <w:ilvl w:val="0"/>
          <w:numId w:val="13"/>
        </w:numPr>
        <w:spacing w:before="120" w:after="120" w:line="276" w:lineRule="auto"/>
        <w:ind w:left="425" w:hanging="425"/>
        <w:rPr>
          <w:sz w:val="24"/>
          <w:szCs w:val="24"/>
        </w:rPr>
      </w:pPr>
      <w:r w:rsidRPr="00873066">
        <w:rPr>
          <w:sz w:val="24"/>
          <w:szCs w:val="24"/>
        </w:rPr>
        <w:t xml:space="preserve">To what extent has the </w:t>
      </w:r>
      <w:r w:rsidR="00B55E9C">
        <w:rPr>
          <w:sz w:val="24"/>
          <w:szCs w:val="24"/>
        </w:rPr>
        <w:t>Unitaid</w:t>
      </w:r>
      <w:r w:rsidRPr="00873066">
        <w:rPr>
          <w:sz w:val="24"/>
          <w:szCs w:val="24"/>
        </w:rPr>
        <w:t>-MSF project on implementation of viral load, CD4 and EID testing been relevant/ needed intervention in relation to the global goals/ needs for HIV?</w:t>
      </w:r>
    </w:p>
    <w:p w14:paraId="17D79CD8" w14:textId="036BEE30" w:rsidR="00D97E3B" w:rsidRPr="00873066" w:rsidRDefault="00D97E3B" w:rsidP="00846486">
      <w:pPr>
        <w:pStyle w:val="ListParagraph"/>
        <w:numPr>
          <w:ilvl w:val="0"/>
          <w:numId w:val="13"/>
        </w:numPr>
        <w:spacing w:before="120" w:after="120" w:line="276" w:lineRule="auto"/>
        <w:ind w:left="425" w:hanging="425"/>
        <w:rPr>
          <w:sz w:val="24"/>
          <w:szCs w:val="24"/>
        </w:rPr>
      </w:pPr>
      <w:r w:rsidRPr="00873066">
        <w:rPr>
          <w:sz w:val="24"/>
          <w:szCs w:val="24"/>
        </w:rPr>
        <w:t xml:space="preserve">What do you view as the key learning from the </w:t>
      </w:r>
      <w:r w:rsidR="00B55E9C">
        <w:rPr>
          <w:sz w:val="24"/>
          <w:szCs w:val="24"/>
        </w:rPr>
        <w:t>Unitaid</w:t>
      </w:r>
      <w:r w:rsidRPr="00873066">
        <w:rPr>
          <w:sz w:val="24"/>
          <w:szCs w:val="24"/>
        </w:rPr>
        <w:t xml:space="preserve">-MSF project on the use and implementation of different diagnostic/ monitoring technologies? Has the project adequately demonstrated use as well as challenges to facilitate uptake/ increased coverage and what remain as key challenges? </w:t>
      </w:r>
    </w:p>
    <w:p w14:paraId="45A8C942" w14:textId="52CA364E" w:rsidR="00D97E3B" w:rsidRPr="00873066" w:rsidRDefault="00D97E3B" w:rsidP="00846486">
      <w:pPr>
        <w:pStyle w:val="ListParagraph"/>
        <w:numPr>
          <w:ilvl w:val="0"/>
          <w:numId w:val="13"/>
        </w:numPr>
        <w:spacing w:before="120" w:after="120" w:line="276" w:lineRule="auto"/>
        <w:ind w:left="425" w:hanging="425"/>
        <w:rPr>
          <w:sz w:val="24"/>
          <w:szCs w:val="24"/>
        </w:rPr>
      </w:pPr>
      <w:r w:rsidRPr="00873066">
        <w:rPr>
          <w:sz w:val="24"/>
          <w:szCs w:val="24"/>
        </w:rPr>
        <w:t xml:space="preserve">What has been the main benefit/ value add of the </w:t>
      </w:r>
      <w:r w:rsidR="00B55E9C">
        <w:rPr>
          <w:sz w:val="24"/>
          <w:szCs w:val="24"/>
        </w:rPr>
        <w:t>Unitaid</w:t>
      </w:r>
      <w:r w:rsidRPr="00873066">
        <w:rPr>
          <w:sz w:val="24"/>
          <w:szCs w:val="24"/>
        </w:rPr>
        <w:t xml:space="preserve">-MSF project? Have there been any missed opportunities? </w:t>
      </w:r>
    </w:p>
    <w:p w14:paraId="773DCB0E" w14:textId="77777777" w:rsidR="00D97E3B" w:rsidRPr="00873066" w:rsidRDefault="00D97E3B" w:rsidP="00846486">
      <w:pPr>
        <w:pStyle w:val="ListParagraph"/>
        <w:numPr>
          <w:ilvl w:val="0"/>
          <w:numId w:val="13"/>
        </w:numPr>
        <w:spacing w:before="120" w:after="120" w:line="276" w:lineRule="auto"/>
        <w:ind w:left="425" w:hanging="425"/>
        <w:rPr>
          <w:sz w:val="24"/>
          <w:szCs w:val="24"/>
        </w:rPr>
      </w:pPr>
      <w:r w:rsidRPr="00873066">
        <w:rPr>
          <w:sz w:val="24"/>
          <w:szCs w:val="24"/>
        </w:rPr>
        <w:t xml:space="preserve">To what extent has the project contributed to developing and updating global and country level policy on HIV diagnosis and monitoring? Have the results from the project been adequately disseminated? </w:t>
      </w:r>
    </w:p>
    <w:p w14:paraId="18A3CF60" w14:textId="2BA35D74" w:rsidR="00D97E3B" w:rsidRPr="00873066" w:rsidRDefault="00D97E3B" w:rsidP="00846486">
      <w:pPr>
        <w:pStyle w:val="ListParagraph"/>
        <w:numPr>
          <w:ilvl w:val="0"/>
          <w:numId w:val="13"/>
        </w:numPr>
        <w:spacing w:before="120" w:after="120" w:line="276" w:lineRule="auto"/>
        <w:ind w:left="425" w:hanging="425"/>
        <w:rPr>
          <w:sz w:val="24"/>
          <w:szCs w:val="24"/>
        </w:rPr>
      </w:pPr>
      <w:r w:rsidRPr="00873066">
        <w:rPr>
          <w:sz w:val="24"/>
          <w:szCs w:val="24"/>
        </w:rPr>
        <w:t xml:space="preserve">Has the </w:t>
      </w:r>
      <w:r w:rsidR="00B55E9C">
        <w:rPr>
          <w:sz w:val="24"/>
          <w:szCs w:val="24"/>
        </w:rPr>
        <w:t>Unitaid</w:t>
      </w:r>
      <w:r w:rsidRPr="00873066">
        <w:rPr>
          <w:sz w:val="24"/>
          <w:szCs w:val="24"/>
        </w:rPr>
        <w:t>-MSF project been adequately coordinated with the work of other organisations working in the HIV diagnostics space?</w:t>
      </w:r>
    </w:p>
    <w:p w14:paraId="5F574FF1" w14:textId="581A018C" w:rsidR="00645308" w:rsidRPr="00645308" w:rsidRDefault="00D97E3B" w:rsidP="00846486">
      <w:pPr>
        <w:pStyle w:val="ListParagraph"/>
        <w:numPr>
          <w:ilvl w:val="0"/>
          <w:numId w:val="13"/>
        </w:numPr>
        <w:spacing w:before="120" w:after="120" w:line="276" w:lineRule="auto"/>
        <w:ind w:left="425" w:hanging="425"/>
        <w:rPr>
          <w:sz w:val="24"/>
          <w:szCs w:val="24"/>
        </w:rPr>
      </w:pPr>
      <w:r w:rsidRPr="00873066">
        <w:rPr>
          <w:sz w:val="24"/>
          <w:szCs w:val="24"/>
        </w:rPr>
        <w:t xml:space="preserve">Do you view the </w:t>
      </w:r>
      <w:r w:rsidR="00B55E9C">
        <w:rPr>
          <w:sz w:val="24"/>
          <w:szCs w:val="24"/>
        </w:rPr>
        <w:t>Unitaid</w:t>
      </w:r>
      <w:r w:rsidRPr="00873066">
        <w:rPr>
          <w:sz w:val="24"/>
          <w:szCs w:val="24"/>
        </w:rPr>
        <w:t xml:space="preserve">-MSF project to have successfully laid the foundations for scale-up by government and other partners? What more could the project have done to support scale-up of viral load testing? </w:t>
      </w:r>
    </w:p>
    <w:p w14:paraId="06DEFCEC" w14:textId="43520305" w:rsidR="00D97E3B" w:rsidRDefault="00D97E3B" w:rsidP="00EA3416">
      <w:pPr>
        <w:pStyle w:val="Heading9"/>
      </w:pPr>
      <w:r w:rsidRPr="008411CA">
        <w:t>W</w:t>
      </w:r>
      <w:r>
        <w:t>HO</w:t>
      </w:r>
    </w:p>
    <w:p w14:paraId="33998C34" w14:textId="070760CD" w:rsidR="00D97E3B" w:rsidRPr="00873066" w:rsidRDefault="00D97E3B" w:rsidP="00846486">
      <w:pPr>
        <w:pStyle w:val="ListParagraph"/>
        <w:numPr>
          <w:ilvl w:val="0"/>
          <w:numId w:val="15"/>
        </w:numPr>
        <w:spacing w:before="120" w:after="120" w:line="276" w:lineRule="auto"/>
        <w:ind w:left="425" w:hanging="425"/>
        <w:rPr>
          <w:sz w:val="24"/>
        </w:rPr>
      </w:pPr>
      <w:r w:rsidRPr="00873066">
        <w:rPr>
          <w:sz w:val="24"/>
        </w:rPr>
        <w:t xml:space="preserve">To what extent has the </w:t>
      </w:r>
      <w:r w:rsidR="00B55E9C">
        <w:rPr>
          <w:sz w:val="24"/>
        </w:rPr>
        <w:t>Unitaid</w:t>
      </w:r>
      <w:r w:rsidRPr="00873066">
        <w:rPr>
          <w:sz w:val="24"/>
        </w:rPr>
        <w:t>-MSF project on implementation of viral load, CD4 and EID testing been relevant/ a much needed intervention in relation to the global goals/ needs for HIV?</w:t>
      </w:r>
    </w:p>
    <w:p w14:paraId="24A46FA6" w14:textId="1540FD54" w:rsidR="00D97E3B" w:rsidRPr="00873066" w:rsidRDefault="00D97E3B" w:rsidP="00846486">
      <w:pPr>
        <w:pStyle w:val="ListParagraph"/>
        <w:numPr>
          <w:ilvl w:val="0"/>
          <w:numId w:val="15"/>
        </w:numPr>
        <w:spacing w:before="120" w:after="120" w:line="276" w:lineRule="auto"/>
        <w:ind w:left="425" w:hanging="425"/>
        <w:rPr>
          <w:sz w:val="24"/>
        </w:rPr>
      </w:pPr>
      <w:r w:rsidRPr="00873066">
        <w:rPr>
          <w:sz w:val="24"/>
        </w:rPr>
        <w:t xml:space="preserve">What do you view as the key learning from the </w:t>
      </w:r>
      <w:r w:rsidR="00B55E9C">
        <w:rPr>
          <w:sz w:val="24"/>
        </w:rPr>
        <w:t>Unitaid</w:t>
      </w:r>
      <w:r w:rsidRPr="00873066">
        <w:rPr>
          <w:sz w:val="24"/>
        </w:rPr>
        <w:t xml:space="preserve">-MSF project on the use and implementation of different diagnostic/ monitoring technologies? Has the project adequately demonstrated use as well as challenges to facilitate uptake/ increased coverage and what remain as key challenges? </w:t>
      </w:r>
    </w:p>
    <w:p w14:paraId="535BF517" w14:textId="25F61EAF" w:rsidR="00D97E3B" w:rsidRPr="00873066" w:rsidRDefault="00D97E3B" w:rsidP="00846486">
      <w:pPr>
        <w:pStyle w:val="ListParagraph"/>
        <w:numPr>
          <w:ilvl w:val="0"/>
          <w:numId w:val="15"/>
        </w:numPr>
        <w:spacing w:before="120" w:after="120" w:line="276" w:lineRule="auto"/>
        <w:ind w:left="425" w:hanging="425"/>
        <w:rPr>
          <w:sz w:val="24"/>
        </w:rPr>
      </w:pPr>
      <w:r w:rsidRPr="00873066">
        <w:rPr>
          <w:sz w:val="24"/>
        </w:rPr>
        <w:t xml:space="preserve">What has been the main benefit/ value add of the </w:t>
      </w:r>
      <w:r w:rsidR="00B55E9C">
        <w:rPr>
          <w:sz w:val="24"/>
        </w:rPr>
        <w:t>Unitaid</w:t>
      </w:r>
      <w:r w:rsidRPr="00873066">
        <w:rPr>
          <w:sz w:val="24"/>
        </w:rPr>
        <w:t xml:space="preserve">-MSF project? Have there been any missed opportunities? </w:t>
      </w:r>
    </w:p>
    <w:p w14:paraId="09D65FA1" w14:textId="77777777" w:rsidR="00D97E3B" w:rsidRPr="00873066" w:rsidRDefault="00D97E3B" w:rsidP="00846486">
      <w:pPr>
        <w:pStyle w:val="ListParagraph"/>
        <w:numPr>
          <w:ilvl w:val="0"/>
          <w:numId w:val="15"/>
        </w:numPr>
        <w:spacing w:before="120" w:after="120" w:line="276" w:lineRule="auto"/>
        <w:ind w:left="425" w:hanging="425"/>
        <w:rPr>
          <w:sz w:val="24"/>
        </w:rPr>
      </w:pPr>
      <w:r w:rsidRPr="00873066">
        <w:rPr>
          <w:sz w:val="24"/>
        </w:rPr>
        <w:t xml:space="preserve">To what extent has the project contributed to developing and updating global and country level policy on HIV diagnosis and monitoring? Have the results from the project been adequately disseminated? </w:t>
      </w:r>
    </w:p>
    <w:p w14:paraId="001F6907" w14:textId="26035188" w:rsidR="00D97E3B" w:rsidRPr="00873066" w:rsidRDefault="00D97E3B" w:rsidP="00846486">
      <w:pPr>
        <w:pStyle w:val="ListParagraph"/>
        <w:numPr>
          <w:ilvl w:val="0"/>
          <w:numId w:val="15"/>
        </w:numPr>
        <w:spacing w:before="120" w:after="120" w:line="276" w:lineRule="auto"/>
        <w:ind w:left="425" w:hanging="425"/>
        <w:rPr>
          <w:sz w:val="24"/>
        </w:rPr>
      </w:pPr>
      <w:r w:rsidRPr="00873066">
        <w:rPr>
          <w:sz w:val="24"/>
        </w:rPr>
        <w:t xml:space="preserve">Has the </w:t>
      </w:r>
      <w:r w:rsidR="00B55E9C">
        <w:rPr>
          <w:sz w:val="24"/>
        </w:rPr>
        <w:t>Unitaid</w:t>
      </w:r>
      <w:r w:rsidRPr="00873066">
        <w:rPr>
          <w:sz w:val="24"/>
        </w:rPr>
        <w:t>-MSF project been adequately coordinated with the work of your organisation?</w:t>
      </w:r>
    </w:p>
    <w:p w14:paraId="1736DF76" w14:textId="38F4FC1E" w:rsidR="00D97E3B" w:rsidRDefault="00D97E3B" w:rsidP="00EA3416">
      <w:pPr>
        <w:pStyle w:val="Heading9"/>
      </w:pPr>
      <w:r>
        <w:t xml:space="preserve">Government and Policymakers (Zimbabwe and Malawi) </w:t>
      </w:r>
    </w:p>
    <w:p w14:paraId="2F2775AE" w14:textId="52547566" w:rsidR="00D97E3B" w:rsidRDefault="00D97E3B" w:rsidP="00846486">
      <w:pPr>
        <w:pStyle w:val="CEPAReportText"/>
        <w:numPr>
          <w:ilvl w:val="0"/>
          <w:numId w:val="12"/>
        </w:numPr>
        <w:ind w:left="425" w:hanging="425"/>
      </w:pPr>
      <w:r>
        <w:t>What was the</w:t>
      </w:r>
      <w:r w:rsidRPr="005B4195">
        <w:t xml:space="preserve"> </w:t>
      </w:r>
      <w:r>
        <w:t>situation regarding</w:t>
      </w:r>
      <w:r w:rsidRPr="005B4195">
        <w:t xml:space="preserve"> </w:t>
      </w:r>
      <w:r w:rsidRPr="002C1DD4">
        <w:t xml:space="preserve">(i) </w:t>
      </w:r>
      <w:r w:rsidR="00B61C4F">
        <w:t>POC</w:t>
      </w:r>
      <w:r w:rsidRPr="002C1DD4">
        <w:t xml:space="preserve"> CD4 testing; (ii) laboratory‐based VL testing; (iii) POC VL testing; and (iv) EID testing</w:t>
      </w:r>
      <w:r>
        <w:t xml:space="preserve"> at the start of the </w:t>
      </w:r>
      <w:r w:rsidR="00B55E9C">
        <w:t>Unitaid</w:t>
      </w:r>
      <w:r>
        <w:t xml:space="preserve"> funded MSF project (i.e. around 2013)?</w:t>
      </w:r>
    </w:p>
    <w:p w14:paraId="17DA5673" w14:textId="77777777" w:rsidR="00D97E3B" w:rsidRDefault="00D97E3B" w:rsidP="00846486">
      <w:pPr>
        <w:pStyle w:val="CEPAReportText"/>
        <w:numPr>
          <w:ilvl w:val="0"/>
          <w:numId w:val="12"/>
        </w:numPr>
        <w:ind w:left="425" w:hanging="425"/>
      </w:pPr>
      <w:r w:rsidRPr="002C1DD4">
        <w:t>How ha</w:t>
      </w:r>
      <w:r>
        <w:t>ve</w:t>
      </w:r>
      <w:r w:rsidRPr="002C1DD4">
        <w:t xml:space="preserve"> the activities of th</w:t>
      </w:r>
      <w:r>
        <w:t>e MSF</w:t>
      </w:r>
      <w:r w:rsidRPr="002C1DD4">
        <w:t xml:space="preserve"> project linked to other HIV initiatives in the country, including other </w:t>
      </w:r>
      <w:r>
        <w:t xml:space="preserve">POC </w:t>
      </w:r>
      <w:r w:rsidRPr="002C1DD4">
        <w:t>diagnostics</w:t>
      </w:r>
      <w:r>
        <w:t>, laboratory-based testing,</w:t>
      </w:r>
      <w:r w:rsidRPr="002C1DD4">
        <w:t xml:space="preserve"> as well as prevention and treatment activities? </w:t>
      </w:r>
    </w:p>
    <w:p w14:paraId="2E334322" w14:textId="77777777" w:rsidR="00D97E3B" w:rsidRDefault="00D97E3B" w:rsidP="00846486">
      <w:pPr>
        <w:pStyle w:val="CEPAReportText"/>
        <w:numPr>
          <w:ilvl w:val="0"/>
          <w:numId w:val="12"/>
        </w:numPr>
        <w:ind w:left="425" w:hanging="425"/>
      </w:pPr>
      <w:r w:rsidRPr="00BF68CC">
        <w:t>What were key successes and challenges in introduction of the respectiv</w:t>
      </w:r>
      <w:r>
        <w:t>e diagnostic technologies in the</w:t>
      </w:r>
      <w:r w:rsidRPr="00BF68CC">
        <w:t xml:space="preserve"> project sites? </w:t>
      </w:r>
      <w:r>
        <w:t xml:space="preserve">What has been the key learnings in terms of what has worked well and less well? </w:t>
      </w:r>
    </w:p>
    <w:p w14:paraId="7FA34285" w14:textId="38FD66ED" w:rsidR="00D97E3B" w:rsidRDefault="00D97E3B" w:rsidP="00846486">
      <w:pPr>
        <w:pStyle w:val="CEPAReportText"/>
        <w:numPr>
          <w:ilvl w:val="0"/>
          <w:numId w:val="12"/>
        </w:numPr>
        <w:ind w:left="425" w:hanging="425"/>
      </w:pPr>
      <w:r w:rsidRPr="00CA05FC">
        <w:t xml:space="preserve">How </w:t>
      </w:r>
      <w:r>
        <w:t xml:space="preserve">efficient and </w:t>
      </w:r>
      <w:r w:rsidRPr="00CA05FC">
        <w:t xml:space="preserve">effective have </w:t>
      </w:r>
      <w:r>
        <w:t xml:space="preserve">the (i) POC CD4 testing; (ii) laboratory‐based </w:t>
      </w:r>
      <w:r w:rsidRPr="00CA05FC">
        <w:t xml:space="preserve">VL testing; (iii) POC VL testing; and (iv) </w:t>
      </w:r>
      <w:r>
        <w:t>E</w:t>
      </w:r>
      <w:r w:rsidRPr="00CA05FC">
        <w:t xml:space="preserve">ID models been in </w:t>
      </w:r>
      <w:r>
        <w:t>terms of improving HIV monitoring (e.g. targeting of key/ vulnerable population groups, simplification of testing, faster turnaround times for testing, more effective access to test results, etc.)?</w:t>
      </w:r>
      <w:r w:rsidRPr="00CA05FC">
        <w:t xml:space="preserve"> </w:t>
      </w:r>
    </w:p>
    <w:p w14:paraId="353BD9FC" w14:textId="77777777" w:rsidR="00D97E3B" w:rsidRDefault="00D97E3B" w:rsidP="00846486">
      <w:pPr>
        <w:pStyle w:val="CEPAReportText"/>
        <w:numPr>
          <w:ilvl w:val="0"/>
          <w:numId w:val="12"/>
        </w:numPr>
        <w:ind w:left="425" w:hanging="425"/>
      </w:pPr>
      <w:r>
        <w:t>What have been the various demand (e.g. community awareness) and supply side (e.g. procurement, supply chain, equipment maintenance, training of health workers) factors determining results and how have these factors worked in practice?</w:t>
      </w:r>
    </w:p>
    <w:p w14:paraId="54266127" w14:textId="77777777" w:rsidR="00D97E3B" w:rsidRDefault="00D97E3B" w:rsidP="00846486">
      <w:pPr>
        <w:pStyle w:val="CEPAReportText"/>
        <w:numPr>
          <w:ilvl w:val="0"/>
          <w:numId w:val="12"/>
        </w:numPr>
        <w:ind w:left="425" w:hanging="425"/>
      </w:pPr>
      <w:r>
        <w:t>Have the new approaches to testing contributed towards any</w:t>
      </w:r>
      <w:r w:rsidRPr="00CA05FC">
        <w:t xml:space="preserve"> </w:t>
      </w:r>
      <w:r>
        <w:t>financial or</w:t>
      </w:r>
      <w:r w:rsidRPr="00CA05FC">
        <w:t xml:space="preserve"> health systems efficiencies</w:t>
      </w:r>
      <w:r>
        <w:t>?</w:t>
      </w:r>
    </w:p>
    <w:p w14:paraId="5F69EF61" w14:textId="4C60F151" w:rsidR="00D97E3B" w:rsidRPr="00BF68CC" w:rsidRDefault="00D97E3B" w:rsidP="00846486">
      <w:pPr>
        <w:pStyle w:val="CEPAReportText"/>
        <w:numPr>
          <w:ilvl w:val="0"/>
          <w:numId w:val="12"/>
        </w:numPr>
        <w:ind w:left="425" w:hanging="425"/>
      </w:pPr>
      <w:r w:rsidRPr="00BF68CC">
        <w:t>What has been the public health impact of the project from decentralised testing and disease monitoring (direct and indirect) and is this aligned with expectations?</w:t>
      </w:r>
      <w:r w:rsidRPr="00680E50">
        <w:t xml:space="preserve"> What do you believe has been the impact of this project in terms of i) increased levels of HIV monitoring; ii) </w:t>
      </w:r>
      <w:r>
        <w:t>switching to second line regimens and improved clinical outcomes</w:t>
      </w:r>
      <w:r w:rsidRPr="00680E50">
        <w:t>?</w:t>
      </w:r>
    </w:p>
    <w:p w14:paraId="7E1150C0" w14:textId="77777777" w:rsidR="00D97E3B" w:rsidRPr="00BF68CC" w:rsidRDefault="00D97E3B" w:rsidP="00846486">
      <w:pPr>
        <w:pStyle w:val="CEPAReportText"/>
        <w:numPr>
          <w:ilvl w:val="0"/>
          <w:numId w:val="12"/>
        </w:numPr>
        <w:ind w:left="425" w:hanging="425"/>
      </w:pPr>
      <w:r w:rsidRPr="00BF68CC">
        <w:t>To what extent has the project contributed to addressing barriers</w:t>
      </w:r>
      <w:r>
        <w:t xml:space="preserve"> regarding HIV monitoring and to updating country level policy</w:t>
      </w:r>
      <w:r w:rsidRPr="00BF68CC">
        <w:t xml:space="preserve">? </w:t>
      </w:r>
      <w:r w:rsidRPr="00133F32">
        <w:t>What have been the lessons learned from the operational research?  Have these been communicated to country stakeholders and what actions have subsequently been taken</w:t>
      </w:r>
      <w:r>
        <w:t>, including regarding policy</w:t>
      </w:r>
      <w:r w:rsidRPr="00133F32">
        <w:t>?</w:t>
      </w:r>
    </w:p>
    <w:p w14:paraId="7953C0E5" w14:textId="77777777" w:rsidR="00D97E3B" w:rsidRDefault="00D97E3B" w:rsidP="00846486">
      <w:pPr>
        <w:pStyle w:val="CEPAReportText"/>
        <w:numPr>
          <w:ilvl w:val="0"/>
          <w:numId w:val="12"/>
        </w:numPr>
        <w:ind w:left="425" w:hanging="425"/>
      </w:pPr>
      <w:r w:rsidRPr="00BF68CC">
        <w:t xml:space="preserve">Have the project activities been sustained since project closure? Has the project laid the foundation for scale-up of HIV monitoring and testing? </w:t>
      </w:r>
      <w:r w:rsidRPr="00F0055E">
        <w:t>What more is required for countries to increase uptake of VL monitoring and EID?</w:t>
      </w:r>
    </w:p>
    <w:p w14:paraId="1D1C07CE" w14:textId="5C36C9BB" w:rsidR="00D97E3B" w:rsidRDefault="00D97E3B" w:rsidP="00846486">
      <w:pPr>
        <w:pStyle w:val="CEPAReportText"/>
        <w:numPr>
          <w:ilvl w:val="0"/>
          <w:numId w:val="12"/>
        </w:numPr>
        <w:ind w:left="425" w:hanging="425"/>
      </w:pPr>
      <w:r>
        <w:t xml:space="preserve">What do you view as the key value add of the </w:t>
      </w:r>
      <w:r w:rsidR="00B55E9C">
        <w:t>Unitaid</w:t>
      </w:r>
      <w:r>
        <w:t xml:space="preserve">-MSF project in country? Have there been any key missed opportunities? </w:t>
      </w:r>
    </w:p>
    <w:p w14:paraId="576431FE" w14:textId="77777777" w:rsidR="00D97E3B" w:rsidRDefault="00D97E3B" w:rsidP="00873066">
      <w:pPr>
        <w:pStyle w:val="Heading2"/>
        <w:numPr>
          <w:ilvl w:val="0"/>
          <w:numId w:val="0"/>
        </w:numPr>
      </w:pPr>
      <w:r>
        <w:br w:type="page"/>
      </w:r>
    </w:p>
    <w:p w14:paraId="39DEB40B" w14:textId="5EED1EE7" w:rsidR="00D97E3B" w:rsidRDefault="00D97E3B" w:rsidP="00D97E3B">
      <w:pPr>
        <w:pStyle w:val="Heading7"/>
        <w:numPr>
          <w:ilvl w:val="0"/>
          <w:numId w:val="3"/>
        </w:numPr>
      </w:pPr>
      <w:bookmarkStart w:id="660" w:name="_Toc500179392"/>
      <w:bookmarkStart w:id="661" w:name="_Toc500182471"/>
      <w:bookmarkStart w:id="662" w:name="_Toc500445659"/>
      <w:bookmarkStart w:id="663" w:name="_Toc500503139"/>
      <w:bookmarkStart w:id="664" w:name="_Toc500508120"/>
      <w:bookmarkStart w:id="665" w:name="_Toc500512848"/>
      <w:bookmarkStart w:id="666" w:name="_Toc500517774"/>
      <w:bookmarkStart w:id="667" w:name="_Toc500519589"/>
      <w:bookmarkStart w:id="668" w:name="_Toc500524436"/>
      <w:bookmarkStart w:id="669" w:name="_Toc506417408"/>
      <w:bookmarkStart w:id="670" w:name="_Toc515359232"/>
      <w:r>
        <w:t xml:space="preserve">Mapping of </w:t>
      </w:r>
      <w:r w:rsidR="00B55E9C">
        <w:t>Unitaid</w:t>
      </w:r>
      <w:r>
        <w:t xml:space="preserve"> 2013-16 strategy objectives with grant focus</w:t>
      </w:r>
      <w:bookmarkEnd w:id="660"/>
      <w:bookmarkEnd w:id="661"/>
      <w:bookmarkEnd w:id="662"/>
      <w:bookmarkEnd w:id="663"/>
      <w:bookmarkEnd w:id="664"/>
      <w:bookmarkEnd w:id="665"/>
      <w:bookmarkEnd w:id="666"/>
      <w:bookmarkEnd w:id="667"/>
      <w:bookmarkEnd w:id="668"/>
      <w:bookmarkEnd w:id="669"/>
      <w:bookmarkEnd w:id="670"/>
      <w:r>
        <w:t xml:space="preserve"> </w:t>
      </w:r>
    </w:p>
    <w:p w14:paraId="2FADCA83" w14:textId="2A67DA83" w:rsidR="00D97E3B" w:rsidRPr="00686709" w:rsidRDefault="00D97E3B" w:rsidP="00D97E3B">
      <w:pPr>
        <w:pStyle w:val="CEPADiagramLabel"/>
      </w:pPr>
      <w:r>
        <w:t xml:space="preserve">Table </w:t>
      </w:r>
      <w:r w:rsidR="001D093F">
        <w:t>C.1</w:t>
      </w:r>
      <w:r>
        <w:t xml:space="preserve">: </w:t>
      </w:r>
      <w:r w:rsidR="00B55E9C">
        <w:t>Unitaid</w:t>
      </w:r>
      <w:r>
        <w:t xml:space="preserve"> 2013-2016 Strategic Objectives and grant relevance</w:t>
      </w:r>
      <w:r>
        <w:rPr>
          <w:rStyle w:val="FootnoteReference"/>
        </w:rPr>
        <w:footnoteReference w:id="107"/>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065"/>
        <w:gridCol w:w="3945"/>
        <w:gridCol w:w="3006"/>
      </w:tblGrid>
      <w:tr w:rsidR="00D97E3B" w14:paraId="395A0FB0" w14:textId="77777777" w:rsidTr="00873066">
        <w:trPr>
          <w:tblHeader/>
        </w:trPr>
        <w:tc>
          <w:tcPr>
            <w:tcW w:w="1145" w:type="pct"/>
            <w:shd w:val="solid" w:color="4B86CD" w:fill="auto"/>
          </w:tcPr>
          <w:p w14:paraId="393EC620" w14:textId="77777777" w:rsidR="00D97E3B" w:rsidRPr="00686709" w:rsidRDefault="00D97E3B" w:rsidP="00873066">
            <w:pPr>
              <w:pStyle w:val="CEPATabletext"/>
              <w:rPr>
                <w:b/>
                <w:color w:val="FFFFFF"/>
              </w:rPr>
            </w:pPr>
            <w:r>
              <w:rPr>
                <w:b/>
                <w:color w:val="FFFFFF"/>
              </w:rPr>
              <w:t>Strategic objective</w:t>
            </w:r>
          </w:p>
        </w:tc>
        <w:tc>
          <w:tcPr>
            <w:tcW w:w="2188" w:type="pct"/>
            <w:shd w:val="solid" w:color="4B86CD" w:fill="auto"/>
          </w:tcPr>
          <w:p w14:paraId="38439EDB" w14:textId="77777777" w:rsidR="00D97E3B" w:rsidRPr="00686709" w:rsidRDefault="00D97E3B" w:rsidP="00873066">
            <w:pPr>
              <w:pStyle w:val="CEPATabletext"/>
              <w:rPr>
                <w:b/>
                <w:color w:val="FFFFFF"/>
              </w:rPr>
            </w:pPr>
            <w:r>
              <w:rPr>
                <w:b/>
                <w:color w:val="FFFFFF"/>
              </w:rPr>
              <w:t>Market shortcoming sought to be addressed through the project</w:t>
            </w:r>
          </w:p>
        </w:tc>
        <w:tc>
          <w:tcPr>
            <w:tcW w:w="1667" w:type="pct"/>
            <w:shd w:val="solid" w:color="4B86CD" w:fill="auto"/>
          </w:tcPr>
          <w:p w14:paraId="1531FA3F" w14:textId="77777777" w:rsidR="00D97E3B" w:rsidRPr="00686709" w:rsidRDefault="00D97E3B" w:rsidP="00873066">
            <w:pPr>
              <w:pStyle w:val="CEPATabletext"/>
              <w:rPr>
                <w:b/>
                <w:color w:val="FFFFFF"/>
              </w:rPr>
            </w:pPr>
            <w:r>
              <w:rPr>
                <w:b/>
                <w:color w:val="FFFFFF"/>
              </w:rPr>
              <w:t xml:space="preserve">Description of project aims and alignment with Strategic Objective/ market shortcoming </w:t>
            </w:r>
          </w:p>
        </w:tc>
      </w:tr>
      <w:tr w:rsidR="00D97E3B" w14:paraId="0EACAC9E" w14:textId="77777777" w:rsidTr="00873066">
        <w:tc>
          <w:tcPr>
            <w:tcW w:w="1145" w:type="pct"/>
          </w:tcPr>
          <w:p w14:paraId="4F18B3BF" w14:textId="77777777" w:rsidR="00D97E3B" w:rsidRDefault="00D97E3B" w:rsidP="00873066">
            <w:pPr>
              <w:pStyle w:val="CEPATabletext"/>
            </w:pPr>
            <w:r>
              <w:t>1: Increase access to simple, point-of-care diagnostics for</w:t>
            </w:r>
          </w:p>
          <w:p w14:paraId="01B473F1" w14:textId="77777777" w:rsidR="00D97E3B" w:rsidRDefault="00D97E3B" w:rsidP="00873066">
            <w:pPr>
              <w:pStyle w:val="CEPATabletext"/>
            </w:pPr>
            <w:r>
              <w:t>HIV/AIDS, TB, and malaria</w:t>
            </w:r>
          </w:p>
        </w:tc>
        <w:tc>
          <w:tcPr>
            <w:tcW w:w="2188" w:type="pct"/>
          </w:tcPr>
          <w:p w14:paraId="02D097F5" w14:textId="77777777" w:rsidR="00D97E3B" w:rsidRPr="002A379B" w:rsidRDefault="00D97E3B" w:rsidP="00873066">
            <w:pPr>
              <w:pStyle w:val="CEPATabletext"/>
            </w:pPr>
            <w:r w:rsidRPr="002A379B">
              <w:rPr>
                <w:b/>
              </w:rPr>
              <w:t xml:space="preserve">Affordability: </w:t>
            </w:r>
            <w:r w:rsidRPr="002A379B">
              <w:t>Traditional HIV diagnostics performed in sophisticated laboratory settings are</w:t>
            </w:r>
            <w:r>
              <w:t xml:space="preserve"> </w:t>
            </w:r>
            <w:r w:rsidRPr="002A379B">
              <w:t>unaffordable for resource-limited settings</w:t>
            </w:r>
            <w:r>
              <w:t>.</w:t>
            </w:r>
          </w:p>
          <w:p w14:paraId="17623659" w14:textId="77777777" w:rsidR="00D97E3B" w:rsidRDefault="00D97E3B" w:rsidP="00873066">
            <w:pPr>
              <w:pStyle w:val="CEPATabletext"/>
            </w:pPr>
            <w:r w:rsidRPr="001E6602">
              <w:rPr>
                <w:b/>
              </w:rPr>
              <w:t>Quality</w:t>
            </w:r>
            <w:r w:rsidRPr="001E6602">
              <w:t xml:space="preserve"> Absence of information on quality of newer POC diagnostics.</w:t>
            </w:r>
          </w:p>
          <w:p w14:paraId="2DCBC27B" w14:textId="77777777" w:rsidR="00D97E3B" w:rsidRDefault="00D97E3B" w:rsidP="00873066">
            <w:pPr>
              <w:pStyle w:val="CEPATabletext"/>
            </w:pPr>
            <w:r w:rsidRPr="008F7FB7">
              <w:rPr>
                <w:b/>
                <w:bCs/>
              </w:rPr>
              <w:t>Acceptability/</w:t>
            </w:r>
            <w:r>
              <w:rPr>
                <w:b/>
                <w:bCs/>
              </w:rPr>
              <w:t xml:space="preserve"> </w:t>
            </w:r>
            <w:r w:rsidRPr="008F7FB7">
              <w:rPr>
                <w:b/>
                <w:bCs/>
              </w:rPr>
              <w:t>Adaptability</w:t>
            </w:r>
            <w:r>
              <w:rPr>
                <w:b/>
                <w:bCs/>
              </w:rPr>
              <w:t>:</w:t>
            </w:r>
            <w:r w:rsidRPr="008F7FB7">
              <w:rPr>
                <w:b/>
                <w:bCs/>
              </w:rPr>
              <w:t xml:space="preserve"> </w:t>
            </w:r>
            <w:r w:rsidRPr="008F7FB7">
              <w:t>Traditional, laboratory-based products are ill-adapted for low-resource</w:t>
            </w:r>
            <w:r>
              <w:t xml:space="preserve"> </w:t>
            </w:r>
            <w:r w:rsidRPr="008F7FB7">
              <w:t>settings because they are complicated to use and maintain, and require sophisticated infrastructure and</w:t>
            </w:r>
            <w:r>
              <w:t xml:space="preserve"> </w:t>
            </w:r>
            <w:r w:rsidRPr="008F7FB7">
              <w:t>skilled technicians.</w:t>
            </w:r>
            <w:r>
              <w:t xml:space="preserve"> </w:t>
            </w:r>
            <w:r w:rsidRPr="008F7FB7">
              <w:t>Newer POC diagnostics currently on the market allow for more decentralized testing</w:t>
            </w:r>
            <w:r>
              <w:t xml:space="preserve"> </w:t>
            </w:r>
            <w:r w:rsidRPr="008F7FB7">
              <w:t>but many are still too complicated for use in remote settings by unskilled workers.</w:t>
            </w:r>
          </w:p>
          <w:p w14:paraId="7CF0A5D7" w14:textId="77777777" w:rsidR="00D97E3B" w:rsidRDefault="00D97E3B" w:rsidP="00873066">
            <w:pPr>
              <w:pStyle w:val="CEPATabletext"/>
            </w:pPr>
            <w:r w:rsidRPr="00B2416D">
              <w:rPr>
                <w:b/>
              </w:rPr>
              <w:t>Delivery</w:t>
            </w:r>
            <w:r>
              <w:t>: Slow and insufficient uptake of both traditional laboratory-based and newer POC diagnostics.</w:t>
            </w:r>
          </w:p>
        </w:tc>
        <w:tc>
          <w:tcPr>
            <w:tcW w:w="1667" w:type="pct"/>
          </w:tcPr>
          <w:p w14:paraId="371729D5" w14:textId="77777777" w:rsidR="00D97E3B" w:rsidRDefault="00D97E3B" w:rsidP="00873066">
            <w:pPr>
              <w:pStyle w:val="CEPATabletext"/>
            </w:pPr>
            <w:r>
              <w:t xml:space="preserve">Within the project aims, operational research was to be conducted on feasibility, acceptability, sustainability, and affordability of POC testing and laboratory-based tools to determine optimal implementation approaches across a range of settings. In addition, informal assessments on the quality of the products were to be conducted. As such, the focus of the project was on acceptability/ adaptability and delivery, although it also touched upon affordability and quality. </w:t>
            </w:r>
          </w:p>
        </w:tc>
      </w:tr>
      <w:tr w:rsidR="00D97E3B" w14:paraId="56AD2CA8" w14:textId="77777777" w:rsidTr="00873066">
        <w:tc>
          <w:tcPr>
            <w:tcW w:w="1145" w:type="pct"/>
          </w:tcPr>
          <w:p w14:paraId="1166F3E1" w14:textId="77777777" w:rsidR="00D97E3B" w:rsidRDefault="00D97E3B" w:rsidP="00873066">
            <w:pPr>
              <w:pStyle w:val="CEPATabletext"/>
            </w:pPr>
            <w:r>
              <w:t>2: Increase access to affordable, adapted paediatric</w:t>
            </w:r>
          </w:p>
          <w:p w14:paraId="35A6C758" w14:textId="77777777" w:rsidR="00D97E3B" w:rsidRDefault="00D97E3B" w:rsidP="00873066">
            <w:pPr>
              <w:pStyle w:val="CEPATabletext"/>
            </w:pPr>
            <w:r>
              <w:t>medicines to treat HIV/AIDS, tuberculosis, and malaria</w:t>
            </w:r>
          </w:p>
        </w:tc>
        <w:tc>
          <w:tcPr>
            <w:tcW w:w="2188" w:type="pct"/>
          </w:tcPr>
          <w:p w14:paraId="5A3A552E" w14:textId="77777777" w:rsidR="00D97E3B" w:rsidRDefault="00D97E3B" w:rsidP="00873066">
            <w:pPr>
              <w:pStyle w:val="CEPATabletext"/>
            </w:pPr>
            <w:r>
              <w:rPr>
                <w:b/>
              </w:rPr>
              <w:t>De</w:t>
            </w:r>
            <w:r w:rsidRPr="00B904E0">
              <w:rPr>
                <w:b/>
              </w:rPr>
              <w:t>livery</w:t>
            </w:r>
            <w:r>
              <w:t xml:space="preserve">: </w:t>
            </w:r>
            <w:r w:rsidRPr="00F6724F">
              <w:t xml:space="preserve">Few children are initiated on HIV treatment prior to 18 months of age as recommended. </w:t>
            </w:r>
          </w:p>
          <w:p w14:paraId="0AE2BA3A" w14:textId="77777777" w:rsidR="00D97E3B" w:rsidRDefault="00D97E3B" w:rsidP="00873066">
            <w:pPr>
              <w:pStyle w:val="CEPATabletext"/>
            </w:pPr>
          </w:p>
        </w:tc>
        <w:tc>
          <w:tcPr>
            <w:tcW w:w="1667" w:type="pct"/>
          </w:tcPr>
          <w:p w14:paraId="370F07DB" w14:textId="77777777" w:rsidR="00D97E3B" w:rsidRDefault="00D97E3B" w:rsidP="00873066">
            <w:pPr>
              <w:pStyle w:val="CEPATabletext"/>
            </w:pPr>
            <w:r>
              <w:t>Project indirectly contributed towards this objective by aiming to improve access to EID.</w:t>
            </w:r>
          </w:p>
        </w:tc>
      </w:tr>
      <w:tr w:rsidR="00D97E3B" w14:paraId="54F94DD8" w14:textId="77777777" w:rsidTr="00873066">
        <w:tc>
          <w:tcPr>
            <w:tcW w:w="1145" w:type="pct"/>
          </w:tcPr>
          <w:p w14:paraId="4C97098A" w14:textId="77777777" w:rsidR="00D97E3B" w:rsidRDefault="00D97E3B" w:rsidP="00873066">
            <w:pPr>
              <w:pStyle w:val="CEPATabletext"/>
            </w:pPr>
            <w:r>
              <w:t>3: Increase access to emerging medicines and/or regimens as</w:t>
            </w:r>
          </w:p>
          <w:p w14:paraId="5955CB2C" w14:textId="77777777" w:rsidR="00D97E3B" w:rsidRDefault="00D97E3B" w:rsidP="00873066">
            <w:pPr>
              <w:pStyle w:val="CEPATabletext"/>
            </w:pPr>
            <w:r>
              <w:t>well as new formulations, dosage forms, or strengths of existing medicines that</w:t>
            </w:r>
          </w:p>
          <w:p w14:paraId="4B60413B" w14:textId="77777777" w:rsidR="00D97E3B" w:rsidRDefault="00D97E3B" w:rsidP="00873066">
            <w:pPr>
              <w:pStyle w:val="CEPATabletext"/>
            </w:pPr>
            <w:r>
              <w:t>will improve treatment of HIV/AIDS and coinfections such as viral hepatitis</w:t>
            </w:r>
          </w:p>
        </w:tc>
        <w:tc>
          <w:tcPr>
            <w:tcW w:w="2188" w:type="pct"/>
          </w:tcPr>
          <w:p w14:paraId="46B36400" w14:textId="77777777" w:rsidR="00D97E3B" w:rsidRDefault="00D97E3B" w:rsidP="00873066">
            <w:pPr>
              <w:pStyle w:val="CEPATabletext"/>
            </w:pPr>
            <w:r>
              <w:rPr>
                <w:rFonts w:ascii="MyriadPro-Bold" w:hAnsi="MyriadPro-Bold" w:cs="MyriadPro-Bold"/>
                <w:b/>
                <w:bCs/>
                <w:szCs w:val="22"/>
              </w:rPr>
              <w:t xml:space="preserve">Affordability: </w:t>
            </w:r>
            <w:r w:rsidRPr="008A00F2">
              <w:t>High prices of existing products</w:t>
            </w:r>
          </w:p>
          <w:p w14:paraId="6B103F98" w14:textId="77777777" w:rsidR="00D97E3B" w:rsidRDefault="00D97E3B" w:rsidP="00873066">
            <w:pPr>
              <w:pStyle w:val="CEPATabletext"/>
            </w:pPr>
            <w:r w:rsidRPr="00CF39D2">
              <w:rPr>
                <w:b/>
              </w:rPr>
              <w:t>Delivery:</w:t>
            </w:r>
            <w:r>
              <w:rPr>
                <w:b/>
              </w:rPr>
              <w:t xml:space="preserve"> </w:t>
            </w:r>
            <w:r>
              <w:t>Low uptake of second-line regimens; almost no uptake of third-line regimens in LICs.</w:t>
            </w:r>
          </w:p>
        </w:tc>
        <w:tc>
          <w:tcPr>
            <w:tcW w:w="1667" w:type="pct"/>
          </w:tcPr>
          <w:p w14:paraId="6964A420" w14:textId="77777777" w:rsidR="00D97E3B" w:rsidRDefault="00D97E3B" w:rsidP="00873066">
            <w:pPr>
              <w:pStyle w:val="CEPATabletext"/>
            </w:pPr>
            <w:r>
              <w:t xml:space="preserve">Project indirectly contributed to this objective by increasing the understanding of the need for second and third line treatment, and feasibility of testing and switching in LICs. The project aimed to </w:t>
            </w:r>
            <w:r w:rsidRPr="00433DF9">
              <w:t>provide lessons learned and best practices to WHO for incorporation into Treatment 2.0 guidance.</w:t>
            </w:r>
          </w:p>
        </w:tc>
      </w:tr>
    </w:tbl>
    <w:p w14:paraId="261A8A27" w14:textId="629D29AE" w:rsidR="00D97E3B" w:rsidRDefault="00D97E3B" w:rsidP="00D97E3B">
      <w:pPr>
        <w:pStyle w:val="Heading7"/>
        <w:numPr>
          <w:ilvl w:val="0"/>
          <w:numId w:val="3"/>
        </w:numPr>
      </w:pPr>
      <w:bookmarkStart w:id="671" w:name="_Toc500179393"/>
      <w:bookmarkStart w:id="672" w:name="_Toc500182472"/>
      <w:bookmarkStart w:id="673" w:name="_Toc500445660"/>
      <w:bookmarkStart w:id="674" w:name="_Toc500503140"/>
      <w:bookmarkStart w:id="675" w:name="_Toc500508121"/>
      <w:bookmarkStart w:id="676" w:name="_Toc500512849"/>
      <w:bookmarkStart w:id="677" w:name="_Toc500517775"/>
      <w:bookmarkStart w:id="678" w:name="_Toc500519590"/>
      <w:bookmarkStart w:id="679" w:name="_Toc500524437"/>
      <w:bookmarkStart w:id="680" w:name="_Toc506417409"/>
      <w:bookmarkStart w:id="681" w:name="_Toc515359233"/>
      <w:r>
        <w:t xml:space="preserve">Complementarity of the MSF grant with </w:t>
      </w:r>
      <w:r w:rsidR="00B55E9C">
        <w:t>Unitaid</w:t>
      </w:r>
      <w:r>
        <w:t>’s broader portfolio</w:t>
      </w:r>
      <w:bookmarkEnd w:id="671"/>
      <w:bookmarkEnd w:id="672"/>
      <w:bookmarkEnd w:id="673"/>
      <w:bookmarkEnd w:id="674"/>
      <w:bookmarkEnd w:id="675"/>
      <w:bookmarkEnd w:id="676"/>
      <w:bookmarkEnd w:id="677"/>
      <w:bookmarkEnd w:id="678"/>
      <w:bookmarkEnd w:id="679"/>
      <w:bookmarkEnd w:id="680"/>
      <w:bookmarkEnd w:id="681"/>
      <w:r>
        <w:t xml:space="preserve"> </w:t>
      </w:r>
    </w:p>
    <w:p w14:paraId="6332CE16" w14:textId="51FD569C" w:rsidR="00D97E3B" w:rsidRPr="006607F2" w:rsidRDefault="00D97E3B" w:rsidP="00D97E3B">
      <w:pPr>
        <w:pStyle w:val="CEPADiagramLabel"/>
      </w:pPr>
      <w:r>
        <w:t xml:space="preserve">Table </w:t>
      </w:r>
      <w:r w:rsidR="001D093F">
        <w:t>D.1</w:t>
      </w:r>
      <w:r>
        <w:t xml:space="preserve">: Key </w:t>
      </w:r>
      <w:r w:rsidR="00B55E9C">
        <w:t>Unitaid</w:t>
      </w:r>
      <w:r>
        <w:t xml:space="preserve"> diagnostics grants during the MSF project timeframe and areas of complementarity</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45"/>
        <w:gridCol w:w="3123"/>
        <w:gridCol w:w="4248"/>
      </w:tblGrid>
      <w:tr w:rsidR="00D97E3B" w14:paraId="35BDBC41" w14:textId="77777777" w:rsidTr="00873066">
        <w:trPr>
          <w:tblHeader/>
        </w:trPr>
        <w:tc>
          <w:tcPr>
            <w:tcW w:w="912" w:type="pct"/>
            <w:shd w:val="solid" w:color="4B86CD" w:fill="auto"/>
          </w:tcPr>
          <w:p w14:paraId="2F190C9E" w14:textId="77777777" w:rsidR="00D97E3B" w:rsidRPr="006607F2" w:rsidRDefault="00D97E3B" w:rsidP="00873066">
            <w:pPr>
              <w:pStyle w:val="CEPATabletext"/>
              <w:rPr>
                <w:b/>
                <w:color w:val="FFFFFF"/>
              </w:rPr>
            </w:pPr>
            <w:r>
              <w:rPr>
                <w:b/>
                <w:color w:val="FFFFFF"/>
              </w:rPr>
              <w:t>Grant overview</w:t>
            </w:r>
          </w:p>
        </w:tc>
        <w:tc>
          <w:tcPr>
            <w:tcW w:w="1732" w:type="pct"/>
            <w:shd w:val="solid" w:color="4B86CD" w:fill="auto"/>
          </w:tcPr>
          <w:p w14:paraId="6F05CF14" w14:textId="77777777" w:rsidR="00D97E3B" w:rsidRPr="006607F2" w:rsidRDefault="00D97E3B" w:rsidP="00873066">
            <w:pPr>
              <w:pStyle w:val="CEPATabletext"/>
              <w:rPr>
                <w:b/>
                <w:color w:val="FFFFFF"/>
              </w:rPr>
            </w:pPr>
            <w:r>
              <w:rPr>
                <w:b/>
                <w:color w:val="FFFFFF"/>
              </w:rPr>
              <w:t>Primary aim/s</w:t>
            </w:r>
          </w:p>
        </w:tc>
        <w:tc>
          <w:tcPr>
            <w:tcW w:w="2356" w:type="pct"/>
            <w:shd w:val="solid" w:color="4B86CD" w:fill="auto"/>
          </w:tcPr>
          <w:p w14:paraId="4CE62F9F" w14:textId="77777777" w:rsidR="00D97E3B" w:rsidRPr="006607F2" w:rsidRDefault="00D97E3B" w:rsidP="00873066">
            <w:pPr>
              <w:pStyle w:val="CEPATabletext"/>
              <w:rPr>
                <w:b/>
                <w:color w:val="FFFFFF"/>
              </w:rPr>
            </w:pPr>
            <w:r>
              <w:rPr>
                <w:b/>
                <w:color w:val="FFFFFF"/>
              </w:rPr>
              <w:t>Complementarity/ synergy with MSF grant</w:t>
            </w:r>
          </w:p>
        </w:tc>
      </w:tr>
      <w:tr w:rsidR="00D97E3B" w14:paraId="71A42193" w14:textId="77777777" w:rsidTr="00873066">
        <w:tc>
          <w:tcPr>
            <w:tcW w:w="912" w:type="pct"/>
          </w:tcPr>
          <w:p w14:paraId="4AEBED1E" w14:textId="77777777" w:rsidR="00D97E3B" w:rsidRDefault="00D97E3B" w:rsidP="00873066">
            <w:pPr>
              <w:pStyle w:val="CEPATabletext"/>
            </w:pPr>
            <w:r w:rsidRPr="00753AE3">
              <w:t>CHAI/UNICEF P</w:t>
            </w:r>
            <w:r>
              <w:t>roject</w:t>
            </w:r>
          </w:p>
          <w:p w14:paraId="57F47A21" w14:textId="77777777" w:rsidR="00D97E3B" w:rsidRPr="006607F2" w:rsidRDefault="00D97E3B" w:rsidP="00873066">
            <w:pPr>
              <w:pStyle w:val="CEPATabletext"/>
            </w:pPr>
            <w:r w:rsidRPr="00753AE3">
              <w:t>2012-2020,</w:t>
            </w:r>
            <w:r>
              <w:t xml:space="preserve"> </w:t>
            </w:r>
            <w:r w:rsidRPr="00753AE3">
              <w:t>US$149</w:t>
            </w:r>
            <w:r>
              <w:t>.</w:t>
            </w:r>
            <w:r w:rsidRPr="00753AE3">
              <w:t>3</w:t>
            </w:r>
            <w:r>
              <w:t>m</w:t>
            </w:r>
          </w:p>
        </w:tc>
        <w:tc>
          <w:tcPr>
            <w:tcW w:w="1732" w:type="pct"/>
          </w:tcPr>
          <w:p w14:paraId="58FE22D9" w14:textId="4E137A58" w:rsidR="00D97E3B" w:rsidRDefault="00A266B0" w:rsidP="00AF5D62">
            <w:pPr>
              <w:pStyle w:val="CEPATabletext"/>
              <w:numPr>
                <w:ilvl w:val="0"/>
                <w:numId w:val="10"/>
              </w:numPr>
              <w:ind w:left="163" w:hanging="163"/>
            </w:pPr>
            <w:r>
              <w:t>O</w:t>
            </w:r>
            <w:r w:rsidR="00D97E3B">
              <w:t>rgani</w:t>
            </w:r>
            <w:r>
              <w:t>s</w:t>
            </w:r>
            <w:r w:rsidR="00D97E3B">
              <w:t>e demand</w:t>
            </w:r>
          </w:p>
          <w:p w14:paraId="288BB706" w14:textId="073C8FE4" w:rsidR="00D97E3B" w:rsidRDefault="00A266B0" w:rsidP="00AF5D62">
            <w:pPr>
              <w:pStyle w:val="CEPATabletext"/>
              <w:numPr>
                <w:ilvl w:val="0"/>
                <w:numId w:val="10"/>
              </w:numPr>
              <w:ind w:left="163" w:hanging="163"/>
            </w:pPr>
            <w:r>
              <w:t>E</w:t>
            </w:r>
            <w:r w:rsidR="00D97E3B">
              <w:t>nsure low prices</w:t>
            </w:r>
          </w:p>
          <w:p w14:paraId="12F93301" w14:textId="03A0011E" w:rsidR="00D97E3B" w:rsidRDefault="00A266B0" w:rsidP="00AF5D62">
            <w:pPr>
              <w:pStyle w:val="CEPATabletext"/>
              <w:numPr>
                <w:ilvl w:val="0"/>
                <w:numId w:val="10"/>
              </w:numPr>
              <w:ind w:left="163" w:hanging="163"/>
            </w:pPr>
            <w:r>
              <w:t>C</w:t>
            </w:r>
            <w:r w:rsidR="00D97E3B">
              <w:t>oordinate with suppliers, scale‐up POC HIV diagnostics.</w:t>
            </w:r>
          </w:p>
          <w:p w14:paraId="7D266E53" w14:textId="77777777" w:rsidR="00D97E3B" w:rsidRDefault="00D97E3B" w:rsidP="00873066">
            <w:pPr>
              <w:pStyle w:val="CEPATabletext"/>
            </w:pPr>
          </w:p>
        </w:tc>
        <w:tc>
          <w:tcPr>
            <w:tcW w:w="2356" w:type="pct"/>
          </w:tcPr>
          <w:p w14:paraId="46635280" w14:textId="77777777" w:rsidR="00D97E3B" w:rsidRDefault="00D97E3B" w:rsidP="00846486">
            <w:pPr>
              <w:pStyle w:val="CEPATabletext"/>
              <w:numPr>
                <w:ilvl w:val="0"/>
                <w:numId w:val="10"/>
              </w:numPr>
              <w:ind w:left="163" w:hanging="163"/>
            </w:pPr>
            <w:r>
              <w:t xml:space="preserve">MSF project provided lessons learnt to inform market, CHAI-UNICEF focused on healthy market through procurement volumes </w:t>
            </w:r>
          </w:p>
          <w:p w14:paraId="6B60C526" w14:textId="77777777" w:rsidR="00D97E3B" w:rsidRDefault="00D97E3B" w:rsidP="00846486">
            <w:pPr>
              <w:pStyle w:val="CEPATabletext"/>
              <w:numPr>
                <w:ilvl w:val="0"/>
                <w:numId w:val="10"/>
              </w:numPr>
              <w:ind w:left="163" w:hanging="163"/>
            </w:pPr>
            <w:r>
              <w:t>CHAI/UNICEF focused on POC, MSF focused on laboratory and POC</w:t>
            </w:r>
          </w:p>
          <w:p w14:paraId="7A783C09" w14:textId="77777777" w:rsidR="00D97E3B" w:rsidRDefault="00D97E3B" w:rsidP="00846486">
            <w:pPr>
              <w:pStyle w:val="CEPATabletext"/>
              <w:numPr>
                <w:ilvl w:val="0"/>
                <w:numId w:val="10"/>
              </w:numPr>
              <w:ind w:left="163" w:hanging="163"/>
            </w:pPr>
            <w:r>
              <w:t>Some overlap in project</w:t>
            </w:r>
            <w:r w:rsidRPr="00267C8D">
              <w:t xml:space="preserve"> countr</w:t>
            </w:r>
            <w:r>
              <w:t>ies (</w:t>
            </w:r>
            <w:r w:rsidRPr="00C409B8">
              <w:t>Malawi, Mozambique, Uganda, and Zimbabwe</w:t>
            </w:r>
            <w:r>
              <w:t>)</w:t>
            </w:r>
          </w:p>
        </w:tc>
      </w:tr>
      <w:tr w:rsidR="00D97E3B" w14:paraId="673B2D1C" w14:textId="77777777" w:rsidTr="00873066">
        <w:tc>
          <w:tcPr>
            <w:tcW w:w="912" w:type="pct"/>
          </w:tcPr>
          <w:p w14:paraId="40A8EB6E" w14:textId="77777777" w:rsidR="00D97E3B" w:rsidRDefault="00D97E3B" w:rsidP="00873066">
            <w:pPr>
              <w:pStyle w:val="CEPATabletext"/>
            </w:pPr>
            <w:r>
              <w:t>DRW project</w:t>
            </w:r>
          </w:p>
          <w:p w14:paraId="2B5CAB83" w14:textId="77777777" w:rsidR="00D97E3B" w:rsidRDefault="00D97E3B" w:rsidP="00873066">
            <w:pPr>
              <w:pStyle w:val="CEPATabletext"/>
            </w:pPr>
            <w:r>
              <w:t>2013-2017</w:t>
            </w:r>
          </w:p>
          <w:p w14:paraId="1D2C7E2F" w14:textId="77777777" w:rsidR="00D97E3B" w:rsidRPr="00753AE3" w:rsidRDefault="00D97E3B" w:rsidP="00873066">
            <w:pPr>
              <w:pStyle w:val="CEPATabletext"/>
            </w:pPr>
            <w:r w:rsidRPr="00267C8D">
              <w:t>US</w:t>
            </w:r>
            <w:r>
              <w:t>$</w:t>
            </w:r>
            <w:r w:rsidRPr="00267C8D">
              <w:t>8.8m</w:t>
            </w:r>
          </w:p>
        </w:tc>
        <w:tc>
          <w:tcPr>
            <w:tcW w:w="1732" w:type="pct"/>
          </w:tcPr>
          <w:p w14:paraId="4EF19063" w14:textId="364C65BD" w:rsidR="00D97E3B" w:rsidRDefault="00A266B0" w:rsidP="00AF5D62">
            <w:pPr>
              <w:pStyle w:val="CEPATabletext"/>
              <w:numPr>
                <w:ilvl w:val="0"/>
                <w:numId w:val="10"/>
              </w:numPr>
              <w:ind w:left="163" w:hanging="163"/>
            </w:pPr>
            <w:r>
              <w:t>P</w:t>
            </w:r>
            <w:r w:rsidR="00D97E3B" w:rsidRPr="00267C8D">
              <w:t>repare the HIV diagnostic market for use of the SAMBA platform for PoC VL and EID in six countries</w:t>
            </w:r>
          </w:p>
          <w:p w14:paraId="243D1277" w14:textId="76326B50" w:rsidR="00D97E3B" w:rsidRDefault="00A266B0" w:rsidP="00AF5D62">
            <w:pPr>
              <w:pStyle w:val="CEPATabletext"/>
              <w:numPr>
                <w:ilvl w:val="0"/>
                <w:numId w:val="10"/>
              </w:numPr>
              <w:ind w:left="163" w:hanging="163"/>
            </w:pPr>
            <w:r>
              <w:t>D</w:t>
            </w:r>
            <w:r w:rsidR="00D97E3B" w:rsidRPr="008E2EA8">
              <w:t>esigned to accelerate the product’s market entry through supporting regulatory approvals and field studies in the target countries</w:t>
            </w:r>
          </w:p>
        </w:tc>
        <w:tc>
          <w:tcPr>
            <w:tcW w:w="2356" w:type="pct"/>
          </w:tcPr>
          <w:p w14:paraId="55FA134E" w14:textId="77777777" w:rsidR="00D97E3B" w:rsidRDefault="00D97E3B" w:rsidP="00846486">
            <w:pPr>
              <w:pStyle w:val="CEPATabletext"/>
              <w:numPr>
                <w:ilvl w:val="0"/>
                <w:numId w:val="10"/>
              </w:numPr>
              <w:ind w:left="163" w:hanging="163"/>
            </w:pPr>
            <w:r>
              <w:t>Focus on the SAMBA technology, serving as a grant to support the manufacturer with product entry</w:t>
            </w:r>
          </w:p>
          <w:p w14:paraId="75C37A63" w14:textId="77777777" w:rsidR="00D97E3B" w:rsidRDefault="00D97E3B" w:rsidP="00873066">
            <w:pPr>
              <w:pStyle w:val="CEPATabletext"/>
            </w:pPr>
            <w:r>
              <w:t>• Some overlap in project countries</w:t>
            </w:r>
          </w:p>
        </w:tc>
      </w:tr>
      <w:tr w:rsidR="00D97E3B" w14:paraId="3D5BE6CB" w14:textId="77777777" w:rsidTr="00873066">
        <w:tc>
          <w:tcPr>
            <w:tcW w:w="912" w:type="pct"/>
          </w:tcPr>
          <w:p w14:paraId="643E82D5" w14:textId="77777777" w:rsidR="00D97E3B" w:rsidRDefault="00D97E3B" w:rsidP="00873066">
            <w:pPr>
              <w:pStyle w:val="CEPATabletext"/>
            </w:pPr>
            <w:r w:rsidRPr="008E2EA8">
              <w:t>EGPAF</w:t>
            </w:r>
          </w:p>
          <w:p w14:paraId="4D2E024A" w14:textId="77777777" w:rsidR="00D97E3B" w:rsidRDefault="00D97E3B" w:rsidP="00873066">
            <w:pPr>
              <w:pStyle w:val="CEPATabletext"/>
            </w:pPr>
            <w:r w:rsidRPr="008E2EA8">
              <w:t>2015</w:t>
            </w:r>
            <w:r>
              <w:t>-</w:t>
            </w:r>
            <w:r w:rsidRPr="008E2EA8">
              <w:t>2019</w:t>
            </w:r>
          </w:p>
          <w:p w14:paraId="791AB3B6" w14:textId="77777777" w:rsidR="00D97E3B" w:rsidRDefault="00D97E3B" w:rsidP="00873066">
            <w:pPr>
              <w:pStyle w:val="CEPATabletext"/>
            </w:pPr>
            <w:r w:rsidRPr="008E2EA8">
              <w:t>US</w:t>
            </w:r>
            <w:r>
              <w:t>$</w:t>
            </w:r>
            <w:r w:rsidRPr="008E2EA8">
              <w:t>63</w:t>
            </w:r>
            <w:r>
              <w:t>m</w:t>
            </w:r>
            <w:r w:rsidRPr="008E2EA8">
              <w:t xml:space="preserve"> </w:t>
            </w:r>
          </w:p>
        </w:tc>
        <w:tc>
          <w:tcPr>
            <w:tcW w:w="1732" w:type="pct"/>
          </w:tcPr>
          <w:p w14:paraId="106D3D5D" w14:textId="644EA66A" w:rsidR="00D97E3B" w:rsidRDefault="00D97E3B" w:rsidP="00AF5D62">
            <w:pPr>
              <w:pStyle w:val="CEPATabletext"/>
              <w:numPr>
                <w:ilvl w:val="0"/>
                <w:numId w:val="10"/>
              </w:numPr>
              <w:ind w:left="163" w:hanging="163"/>
            </w:pPr>
            <w:r w:rsidRPr="008E2EA8">
              <w:t xml:space="preserve">Using innovative </w:t>
            </w:r>
            <w:r w:rsidR="00B61C4F">
              <w:t>POC</w:t>
            </w:r>
            <w:r w:rsidRPr="008E2EA8">
              <w:t xml:space="preserve"> EID,</w:t>
            </w:r>
            <w:r>
              <w:t xml:space="preserve"> aim to demonstrate public health impact and impact the market</w:t>
            </w:r>
          </w:p>
        </w:tc>
        <w:tc>
          <w:tcPr>
            <w:tcW w:w="2356" w:type="pct"/>
          </w:tcPr>
          <w:p w14:paraId="49D7D028" w14:textId="77777777" w:rsidR="00D97E3B" w:rsidRDefault="00D97E3B" w:rsidP="00846486">
            <w:pPr>
              <w:pStyle w:val="CEPATabletext"/>
              <w:numPr>
                <w:ilvl w:val="0"/>
                <w:numId w:val="10"/>
              </w:numPr>
              <w:ind w:left="163" w:hanging="163"/>
            </w:pPr>
            <w:r>
              <w:t>Some overlap in project countries</w:t>
            </w:r>
          </w:p>
          <w:p w14:paraId="77597149" w14:textId="77777777" w:rsidR="00D97E3B" w:rsidRDefault="00D97E3B" w:rsidP="00846486">
            <w:pPr>
              <w:pStyle w:val="CEPATabletext"/>
              <w:numPr>
                <w:ilvl w:val="0"/>
                <w:numId w:val="10"/>
              </w:numPr>
              <w:ind w:left="163" w:hanging="163"/>
            </w:pPr>
            <w:r>
              <w:t>EID uptake was slow during MSF project years</w:t>
            </w:r>
          </w:p>
        </w:tc>
      </w:tr>
      <w:tr w:rsidR="00D97E3B" w14:paraId="61048C54" w14:textId="77777777" w:rsidTr="00873066">
        <w:tc>
          <w:tcPr>
            <w:tcW w:w="912" w:type="pct"/>
          </w:tcPr>
          <w:p w14:paraId="09B1DB88" w14:textId="77777777" w:rsidR="00D97E3B" w:rsidRDefault="00D97E3B" w:rsidP="00873066">
            <w:pPr>
              <w:pStyle w:val="CEPATabletext"/>
            </w:pPr>
            <w:r w:rsidRPr="006607F2">
              <w:t>OPP-ERA P</w:t>
            </w:r>
            <w:r>
              <w:t>roject</w:t>
            </w:r>
          </w:p>
          <w:p w14:paraId="073FA576" w14:textId="77777777" w:rsidR="00D97E3B" w:rsidRDefault="00D97E3B" w:rsidP="00873066">
            <w:pPr>
              <w:pStyle w:val="CEPATabletext"/>
            </w:pPr>
            <w:r w:rsidRPr="006607F2">
              <w:t>Phase 1</w:t>
            </w:r>
            <w:r>
              <w:t>:</w:t>
            </w:r>
            <w:r w:rsidRPr="006607F2">
              <w:t xml:space="preserve"> 2013-2016, US$6.4</w:t>
            </w:r>
            <w:r>
              <w:t>m</w:t>
            </w:r>
          </w:p>
          <w:p w14:paraId="2FBB440F" w14:textId="77777777" w:rsidR="00D97E3B" w:rsidRDefault="00D97E3B" w:rsidP="00873066">
            <w:pPr>
              <w:pStyle w:val="CEPATabletext"/>
            </w:pPr>
            <w:r>
              <w:t xml:space="preserve">Phase </w:t>
            </w:r>
            <w:r w:rsidRPr="00753AE3">
              <w:t>2 2016</w:t>
            </w:r>
            <w:r>
              <w:t>-</w:t>
            </w:r>
            <w:r w:rsidRPr="00753AE3">
              <w:t>2019,</w:t>
            </w:r>
            <w:r>
              <w:t xml:space="preserve"> </w:t>
            </w:r>
            <w:r w:rsidRPr="00753AE3">
              <w:t>US $14</w:t>
            </w:r>
            <w:r>
              <w:t>.</w:t>
            </w:r>
            <w:r w:rsidRPr="00753AE3">
              <w:t>7</w:t>
            </w:r>
            <w:r>
              <w:t>m</w:t>
            </w:r>
          </w:p>
        </w:tc>
        <w:tc>
          <w:tcPr>
            <w:tcW w:w="1732" w:type="pct"/>
          </w:tcPr>
          <w:p w14:paraId="3E2EC306" w14:textId="4D0C4B9D" w:rsidR="00D97E3B" w:rsidRDefault="00D97E3B" w:rsidP="00AF5D62">
            <w:pPr>
              <w:pStyle w:val="CEPATabletext"/>
              <w:numPr>
                <w:ilvl w:val="0"/>
                <w:numId w:val="10"/>
              </w:numPr>
              <w:ind w:left="163" w:hanging="163"/>
            </w:pPr>
            <w:r>
              <w:t>Implement Open Polyvalent Platform in countries</w:t>
            </w:r>
          </w:p>
          <w:p w14:paraId="22FC9346" w14:textId="6746080B" w:rsidR="00D97E3B" w:rsidRDefault="00D97E3B" w:rsidP="00AF5D62">
            <w:pPr>
              <w:pStyle w:val="CEPATabletext"/>
              <w:numPr>
                <w:ilvl w:val="0"/>
                <w:numId w:val="10"/>
              </w:numPr>
              <w:ind w:left="163" w:hanging="163"/>
            </w:pPr>
            <w:r>
              <w:t>New manufacturers and suppliers enter the market</w:t>
            </w:r>
          </w:p>
          <w:p w14:paraId="4EAAB2F4" w14:textId="5896C9C2" w:rsidR="00D97E3B" w:rsidRDefault="00D97E3B" w:rsidP="00AF5D62">
            <w:pPr>
              <w:pStyle w:val="CEPATabletext"/>
              <w:numPr>
                <w:ilvl w:val="0"/>
                <w:numId w:val="10"/>
              </w:numPr>
              <w:ind w:left="163" w:hanging="163"/>
            </w:pPr>
            <w:r>
              <w:t>Ensure lower price and increase access for diagnostic</w:t>
            </w:r>
          </w:p>
        </w:tc>
        <w:tc>
          <w:tcPr>
            <w:tcW w:w="2356" w:type="pct"/>
          </w:tcPr>
          <w:p w14:paraId="05A02245" w14:textId="4CCA3FCC" w:rsidR="00D97E3B" w:rsidRDefault="00D97E3B" w:rsidP="00AF5D62">
            <w:pPr>
              <w:pStyle w:val="CEPATabletext"/>
              <w:numPr>
                <w:ilvl w:val="0"/>
                <w:numId w:val="10"/>
              </w:numPr>
              <w:ind w:left="163" w:hanging="163"/>
            </w:pPr>
            <w:r w:rsidRPr="00267C8D">
              <w:t>Focus on different countries</w:t>
            </w:r>
          </w:p>
          <w:p w14:paraId="6B4F6C8F" w14:textId="05FE5300" w:rsidR="00D97E3B" w:rsidRDefault="00D97E3B" w:rsidP="00AF5D62">
            <w:pPr>
              <w:pStyle w:val="CEPATabletext"/>
              <w:numPr>
                <w:ilvl w:val="0"/>
                <w:numId w:val="10"/>
              </w:numPr>
              <w:ind w:left="163" w:hanging="163"/>
            </w:pPr>
            <w:r>
              <w:t>Focus on open polyvalent platforms, MSF project focused on single-platforms (</w:t>
            </w:r>
            <w:r w:rsidRPr="003D567E">
              <w:t>Mul</w:t>
            </w:r>
            <w:r>
              <w:t>t</w:t>
            </w:r>
            <w:r w:rsidRPr="003D567E">
              <w:t>iplex platform</w:t>
            </w:r>
            <w:r>
              <w:t>s were an innovation that came out during the MSF project and budget is larger for Phase 2 of OPP-ERA project)</w:t>
            </w:r>
          </w:p>
        </w:tc>
      </w:tr>
    </w:tbl>
    <w:p w14:paraId="06885F64" w14:textId="77777777" w:rsidR="00D97E3B" w:rsidRDefault="00D97E3B" w:rsidP="00D97E3B">
      <w:pPr>
        <w:pStyle w:val="CEPAReportText"/>
      </w:pPr>
    </w:p>
    <w:p w14:paraId="38C02FE2" w14:textId="77777777" w:rsidR="00D97E3B" w:rsidRDefault="00D97E3B" w:rsidP="00D97E3B">
      <w:pPr>
        <w:pStyle w:val="CEPAReportText"/>
        <w:rPr>
          <w:rFonts w:asciiTheme="minorHAnsi" w:eastAsiaTheme="majorEastAsia" w:hAnsiTheme="minorHAnsi" w:cstheme="majorBidi"/>
          <w:sz w:val="28"/>
        </w:rPr>
      </w:pPr>
      <w:r>
        <w:br w:type="page"/>
      </w:r>
    </w:p>
    <w:p w14:paraId="3FF9BF8D" w14:textId="77777777" w:rsidR="00D97E3B" w:rsidRDefault="00D97E3B" w:rsidP="00D97E3B">
      <w:pPr>
        <w:pStyle w:val="Heading7"/>
        <w:numPr>
          <w:ilvl w:val="0"/>
          <w:numId w:val="3"/>
        </w:numPr>
      </w:pPr>
      <w:bookmarkStart w:id="682" w:name="_Toc500182473"/>
      <w:bookmarkStart w:id="683" w:name="_Toc500503141"/>
      <w:bookmarkStart w:id="684" w:name="_Toc500508122"/>
      <w:bookmarkStart w:id="685" w:name="_Toc500512850"/>
      <w:bookmarkStart w:id="686" w:name="_Toc500517776"/>
      <w:bookmarkStart w:id="687" w:name="_Toc500519591"/>
      <w:bookmarkStart w:id="688" w:name="_Toc500524438"/>
      <w:bookmarkStart w:id="689" w:name="_Toc506417410"/>
      <w:bookmarkStart w:id="690" w:name="_Toc515359234"/>
      <w:bookmarkStart w:id="691" w:name="_Toc500445661"/>
      <w:r>
        <w:t>Project logframe and achievements</w:t>
      </w:r>
      <w:bookmarkEnd w:id="682"/>
      <w:bookmarkEnd w:id="683"/>
      <w:bookmarkEnd w:id="684"/>
      <w:bookmarkEnd w:id="685"/>
      <w:bookmarkEnd w:id="686"/>
      <w:bookmarkEnd w:id="687"/>
      <w:bookmarkEnd w:id="688"/>
      <w:bookmarkEnd w:id="689"/>
      <w:bookmarkEnd w:id="690"/>
      <w:r>
        <w:t xml:space="preserve"> </w:t>
      </w:r>
      <w:bookmarkEnd w:id="691"/>
    </w:p>
    <w:p w14:paraId="6B3664E1" w14:textId="6D110228" w:rsidR="00D97E3B" w:rsidRPr="001B2CFE" w:rsidRDefault="00D97E3B" w:rsidP="00873066">
      <w:pPr>
        <w:pStyle w:val="CEPAReportText"/>
      </w:pPr>
      <w:r>
        <w:t xml:space="preserve">This annex </w:t>
      </w:r>
      <w:r w:rsidR="009F6EC1">
        <w:t>includes</w:t>
      </w:r>
      <w:r>
        <w:t xml:space="preserve"> the </w:t>
      </w:r>
      <w:r w:rsidR="00873066">
        <w:t xml:space="preserve">full </w:t>
      </w:r>
      <w:r>
        <w:t xml:space="preserve">logframe with achievements. Indicators that were dropped following the 2015 annual report have been included with their most recent target, and are highlighted in grey. </w:t>
      </w:r>
    </w:p>
    <w:p w14:paraId="20C8F1B8" w14:textId="6AEFE3E3" w:rsidR="00D97E3B" w:rsidRPr="00036398" w:rsidRDefault="00D97E3B" w:rsidP="00D97E3B">
      <w:pPr>
        <w:pStyle w:val="CEPADiagramLabel"/>
      </w:pPr>
      <w:r>
        <w:t xml:space="preserve">Table </w:t>
      </w:r>
      <w:r w:rsidR="001D093F">
        <w:t>E.1</w:t>
      </w:r>
      <w:r>
        <w:t xml:space="preserve">: Revised logframe, as agreed between </w:t>
      </w:r>
      <w:r w:rsidR="00B55E9C">
        <w:t>Unitaid</w:t>
      </w:r>
      <w:r>
        <w:t xml:space="preserve"> and MSF in 2016, and cumulative project results</w:t>
      </w:r>
    </w:p>
    <w:tbl>
      <w:tblPr>
        <w:tblStyle w:val="TableGridCEPA1"/>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074"/>
        <w:gridCol w:w="3740"/>
        <w:gridCol w:w="1560"/>
        <w:gridCol w:w="1217"/>
        <w:gridCol w:w="1425"/>
      </w:tblGrid>
      <w:tr w:rsidR="00D97E3B" w:rsidRPr="006F32BD" w14:paraId="7B658FA0" w14:textId="77777777" w:rsidTr="001D093F">
        <w:trPr>
          <w:cnfStyle w:val="100000000000" w:firstRow="1" w:lastRow="0" w:firstColumn="0" w:lastColumn="0" w:oddVBand="0" w:evenVBand="0" w:oddHBand="0" w:evenHBand="0" w:firstRowFirstColumn="0" w:firstRowLastColumn="0" w:lastRowFirstColumn="0" w:lastRowLastColumn="0"/>
          <w:tblHeader/>
        </w:trPr>
        <w:tc>
          <w:tcPr>
            <w:tcW w:w="596" w:type="pct"/>
            <w:shd w:val="solid" w:color="4B86CD" w:fill="auto"/>
          </w:tcPr>
          <w:p w14:paraId="57EDDB8F" w14:textId="77777777" w:rsidR="00D97E3B" w:rsidRPr="00BC4D70" w:rsidRDefault="00D97E3B" w:rsidP="00873066">
            <w:pPr>
              <w:spacing w:before="60" w:after="60"/>
              <w:rPr>
                <w:b w:val="0"/>
                <w:sz w:val="20"/>
                <w:szCs w:val="20"/>
              </w:rPr>
            </w:pPr>
            <w:r w:rsidRPr="00BC4D70">
              <w:rPr>
                <w:sz w:val="20"/>
                <w:szCs w:val="20"/>
              </w:rPr>
              <w:t>Result level</w:t>
            </w:r>
          </w:p>
        </w:tc>
        <w:tc>
          <w:tcPr>
            <w:tcW w:w="2074" w:type="pct"/>
            <w:shd w:val="solid" w:color="4B86CD" w:fill="auto"/>
          </w:tcPr>
          <w:p w14:paraId="5B0CF43C" w14:textId="77777777" w:rsidR="00D97E3B" w:rsidRPr="00BC4D70" w:rsidRDefault="00D97E3B" w:rsidP="00873066">
            <w:pPr>
              <w:spacing w:before="60" w:after="60"/>
              <w:rPr>
                <w:b w:val="0"/>
                <w:sz w:val="20"/>
                <w:szCs w:val="20"/>
              </w:rPr>
            </w:pPr>
            <w:r w:rsidRPr="00BC4D70">
              <w:rPr>
                <w:sz w:val="20"/>
                <w:szCs w:val="20"/>
              </w:rPr>
              <w:t>Description</w:t>
            </w:r>
          </w:p>
        </w:tc>
        <w:tc>
          <w:tcPr>
            <w:tcW w:w="865" w:type="pct"/>
            <w:shd w:val="solid" w:color="4B86CD" w:fill="auto"/>
          </w:tcPr>
          <w:p w14:paraId="1B02823B" w14:textId="77777777" w:rsidR="00D97E3B" w:rsidRPr="00BC4D70" w:rsidRDefault="00D97E3B" w:rsidP="00873066">
            <w:pPr>
              <w:spacing w:before="60" w:after="60"/>
              <w:rPr>
                <w:b w:val="0"/>
                <w:sz w:val="20"/>
                <w:szCs w:val="20"/>
              </w:rPr>
            </w:pPr>
            <w:r w:rsidRPr="00BC4D70">
              <w:rPr>
                <w:sz w:val="20"/>
                <w:szCs w:val="20"/>
              </w:rPr>
              <w:t>Revised Target</w:t>
            </w:r>
          </w:p>
        </w:tc>
        <w:tc>
          <w:tcPr>
            <w:tcW w:w="675" w:type="pct"/>
            <w:shd w:val="solid" w:color="4B86CD" w:fill="auto"/>
          </w:tcPr>
          <w:p w14:paraId="4A4AE281" w14:textId="77777777" w:rsidR="00D97E3B" w:rsidRPr="00BC4D70" w:rsidRDefault="00D97E3B" w:rsidP="00873066">
            <w:pPr>
              <w:spacing w:before="60" w:after="60"/>
              <w:rPr>
                <w:b w:val="0"/>
                <w:sz w:val="20"/>
                <w:szCs w:val="20"/>
              </w:rPr>
            </w:pPr>
            <w:r w:rsidRPr="00BC4D70">
              <w:rPr>
                <w:sz w:val="20"/>
                <w:szCs w:val="20"/>
              </w:rPr>
              <w:t>Result</w:t>
            </w:r>
          </w:p>
        </w:tc>
        <w:tc>
          <w:tcPr>
            <w:tcW w:w="790" w:type="pct"/>
            <w:shd w:val="solid" w:color="4B86CD" w:fill="auto"/>
          </w:tcPr>
          <w:p w14:paraId="35E05D3C" w14:textId="77777777" w:rsidR="00D97E3B" w:rsidRPr="00BC4D70" w:rsidRDefault="00D97E3B" w:rsidP="00873066">
            <w:pPr>
              <w:spacing w:before="60" w:after="60"/>
              <w:rPr>
                <w:b w:val="0"/>
                <w:sz w:val="20"/>
                <w:szCs w:val="20"/>
              </w:rPr>
            </w:pPr>
            <w:r w:rsidRPr="00BC4D70">
              <w:rPr>
                <w:sz w:val="20"/>
                <w:szCs w:val="20"/>
              </w:rPr>
              <w:t>% Achievement</w:t>
            </w:r>
          </w:p>
        </w:tc>
      </w:tr>
      <w:tr w:rsidR="00D97E3B" w:rsidRPr="006F32BD" w14:paraId="425978A1" w14:textId="77777777" w:rsidTr="001D093F">
        <w:tc>
          <w:tcPr>
            <w:tcW w:w="596" w:type="pct"/>
            <w:shd w:val="clear" w:color="auto" w:fill="C6C6C6"/>
          </w:tcPr>
          <w:p w14:paraId="0243DC3F" w14:textId="77777777" w:rsidR="00D97E3B" w:rsidRPr="00BC4D70" w:rsidRDefault="00D97E3B" w:rsidP="00873066">
            <w:pPr>
              <w:spacing w:before="60" w:after="60"/>
              <w:rPr>
                <w:rFonts w:eastAsia="SimSun"/>
                <w:b/>
                <w:color w:val="auto"/>
                <w:sz w:val="20"/>
                <w:szCs w:val="20"/>
              </w:rPr>
            </w:pPr>
            <w:r w:rsidRPr="00BC4D70">
              <w:rPr>
                <w:rFonts w:eastAsia="SimSun"/>
                <w:b/>
                <w:color w:val="auto"/>
                <w:sz w:val="20"/>
                <w:szCs w:val="20"/>
              </w:rPr>
              <w:t>Goal</w:t>
            </w:r>
          </w:p>
        </w:tc>
        <w:tc>
          <w:tcPr>
            <w:tcW w:w="4404" w:type="pct"/>
            <w:gridSpan w:val="4"/>
            <w:shd w:val="clear" w:color="auto" w:fill="C6C6C6"/>
          </w:tcPr>
          <w:p w14:paraId="00651EC1" w14:textId="2628BFC7" w:rsidR="00D97E3B" w:rsidRPr="00BC4D70" w:rsidRDefault="00D97E3B" w:rsidP="00873066">
            <w:pPr>
              <w:spacing w:before="60" w:after="60"/>
              <w:rPr>
                <w:color w:val="auto"/>
                <w:sz w:val="20"/>
                <w:szCs w:val="20"/>
              </w:rPr>
            </w:pPr>
            <w:r w:rsidRPr="00BC4D70">
              <w:rPr>
                <w:rFonts w:eastAsia="SimSun"/>
                <w:b/>
                <w:color w:val="auto"/>
                <w:sz w:val="20"/>
                <w:szCs w:val="20"/>
              </w:rPr>
              <w:t xml:space="preserve">Improved clinical outcomes for PLWHA in resource-constrained settings through models of care for optimal use of PoC CD4, laboratory-based and PoC </w:t>
            </w:r>
            <w:r w:rsidR="00D5687B">
              <w:rPr>
                <w:rFonts w:eastAsia="SimSun"/>
                <w:b/>
                <w:color w:val="auto"/>
                <w:sz w:val="20"/>
                <w:szCs w:val="20"/>
              </w:rPr>
              <w:t>VL</w:t>
            </w:r>
            <w:r w:rsidRPr="00BC4D70">
              <w:rPr>
                <w:rFonts w:eastAsia="SimSun"/>
                <w:b/>
                <w:color w:val="auto"/>
                <w:sz w:val="20"/>
                <w:szCs w:val="20"/>
              </w:rPr>
              <w:t xml:space="preserve"> and EID testing</w:t>
            </w:r>
          </w:p>
        </w:tc>
      </w:tr>
      <w:tr w:rsidR="00D97E3B" w:rsidRPr="006F32BD" w14:paraId="29FD053B" w14:textId="77777777" w:rsidTr="001D093F">
        <w:tc>
          <w:tcPr>
            <w:tcW w:w="596" w:type="pct"/>
            <w:shd w:val="clear" w:color="auto" w:fill="auto"/>
          </w:tcPr>
          <w:p w14:paraId="7D7590E5" w14:textId="77777777" w:rsidR="00D97E3B" w:rsidRPr="00BC4D70" w:rsidRDefault="00D97E3B" w:rsidP="00873066">
            <w:pPr>
              <w:spacing w:before="60" w:after="60"/>
              <w:rPr>
                <w:rFonts w:eastAsia="SimSun"/>
                <w:color w:val="A6A6A6" w:themeColor="background2" w:themeShade="A6"/>
                <w:sz w:val="20"/>
                <w:szCs w:val="20"/>
              </w:rPr>
            </w:pPr>
            <w:r w:rsidRPr="00BC4D70">
              <w:rPr>
                <w:rFonts w:eastAsia="SimSun"/>
                <w:color w:val="A6A6A6" w:themeColor="background2" w:themeShade="A6"/>
                <w:sz w:val="20"/>
                <w:szCs w:val="20"/>
              </w:rPr>
              <w:t>G1</w:t>
            </w:r>
          </w:p>
        </w:tc>
        <w:tc>
          <w:tcPr>
            <w:tcW w:w="2074" w:type="pct"/>
            <w:shd w:val="clear" w:color="auto" w:fill="auto"/>
          </w:tcPr>
          <w:p w14:paraId="22449E06" w14:textId="77777777" w:rsidR="00D97E3B" w:rsidRPr="00BC4D70" w:rsidRDefault="00D97E3B" w:rsidP="00873066">
            <w:pPr>
              <w:spacing w:before="60" w:after="60"/>
              <w:rPr>
                <w:rFonts w:eastAsia="SimSun"/>
                <w:color w:val="A6A6A6" w:themeColor="background2" w:themeShade="A6"/>
                <w:sz w:val="20"/>
                <w:szCs w:val="20"/>
              </w:rPr>
            </w:pPr>
            <w:r w:rsidRPr="00BC4D70">
              <w:rPr>
                <w:rFonts w:eastAsia="SimSun"/>
                <w:color w:val="A6A6A6" w:themeColor="background2" w:themeShade="A6"/>
                <w:sz w:val="20"/>
                <w:szCs w:val="20"/>
              </w:rPr>
              <w:t xml:space="preserve">Number and percentage of patients </w:t>
            </w:r>
            <w:r w:rsidRPr="00BC4D70">
              <w:rPr>
                <w:rFonts w:eastAsia="SimSun"/>
                <w:color w:val="A6A6A6" w:themeColor="background1" w:themeShade="A6"/>
                <w:sz w:val="20"/>
                <w:szCs w:val="20"/>
              </w:rPr>
              <w:t>initiated on ART after same-day PoC CD4 testing</w:t>
            </w:r>
          </w:p>
        </w:tc>
        <w:tc>
          <w:tcPr>
            <w:tcW w:w="865" w:type="pct"/>
            <w:shd w:val="clear" w:color="auto" w:fill="auto"/>
          </w:tcPr>
          <w:p w14:paraId="3D6F1755" w14:textId="77777777" w:rsidR="00D97E3B" w:rsidRPr="00BC4D70" w:rsidRDefault="00D97E3B" w:rsidP="00873066">
            <w:pPr>
              <w:spacing w:before="60" w:after="60"/>
              <w:rPr>
                <w:color w:val="A6A6A6" w:themeColor="background2" w:themeShade="A6"/>
                <w:sz w:val="20"/>
                <w:szCs w:val="20"/>
              </w:rPr>
            </w:pPr>
            <w:r w:rsidRPr="00BC4D70">
              <w:rPr>
                <w:color w:val="A6A6A6" w:themeColor="background2" w:themeShade="A6"/>
                <w:sz w:val="20"/>
                <w:szCs w:val="20"/>
              </w:rPr>
              <w:t>10,000</w:t>
            </w:r>
          </w:p>
        </w:tc>
        <w:tc>
          <w:tcPr>
            <w:tcW w:w="1465" w:type="pct"/>
            <w:gridSpan w:val="2"/>
            <w:shd w:val="clear" w:color="auto" w:fill="auto"/>
          </w:tcPr>
          <w:p w14:paraId="69DEF8D5" w14:textId="77777777" w:rsidR="00D97E3B" w:rsidRPr="00BC4D70" w:rsidRDefault="00D97E3B" w:rsidP="00873066">
            <w:pPr>
              <w:spacing w:before="60" w:after="60"/>
              <w:rPr>
                <w:color w:val="A6A6A6" w:themeColor="background2" w:themeShade="A6"/>
                <w:sz w:val="20"/>
                <w:szCs w:val="20"/>
              </w:rPr>
            </w:pPr>
            <w:r w:rsidRPr="00BC4D70">
              <w:rPr>
                <w:color w:val="A6A6A6" w:themeColor="background2" w:themeShade="A6"/>
                <w:sz w:val="20"/>
                <w:szCs w:val="20"/>
              </w:rPr>
              <w:t>Dropped after 2015 annual report</w:t>
            </w:r>
          </w:p>
        </w:tc>
      </w:tr>
      <w:tr w:rsidR="00D97E3B" w:rsidRPr="006F32BD" w14:paraId="04A2F533" w14:textId="77777777" w:rsidTr="001D093F">
        <w:tc>
          <w:tcPr>
            <w:tcW w:w="596" w:type="pct"/>
          </w:tcPr>
          <w:p w14:paraId="6ABE79F4" w14:textId="77777777" w:rsidR="00D97E3B" w:rsidRPr="00BC4D70" w:rsidRDefault="00D97E3B" w:rsidP="00873066">
            <w:pPr>
              <w:spacing w:before="60" w:after="60"/>
              <w:rPr>
                <w:rFonts w:eastAsia="SimSun"/>
                <w:b/>
                <w:color w:val="auto"/>
                <w:sz w:val="20"/>
                <w:szCs w:val="20"/>
              </w:rPr>
            </w:pPr>
            <w:r w:rsidRPr="00BC4D70">
              <w:rPr>
                <w:rFonts w:eastAsia="SimSun"/>
                <w:color w:val="auto"/>
                <w:sz w:val="20"/>
                <w:szCs w:val="20"/>
              </w:rPr>
              <w:t>G2</w:t>
            </w:r>
          </w:p>
        </w:tc>
        <w:tc>
          <w:tcPr>
            <w:tcW w:w="2074" w:type="pct"/>
          </w:tcPr>
          <w:p w14:paraId="28597775" w14:textId="0F362A26" w:rsidR="00D97E3B" w:rsidRPr="00BC4D70" w:rsidRDefault="00D97E3B" w:rsidP="00873066">
            <w:pPr>
              <w:spacing w:before="60" w:after="60"/>
              <w:rPr>
                <w:rFonts w:eastAsia="SimSun"/>
                <w:b/>
                <w:color w:val="auto"/>
                <w:sz w:val="20"/>
                <w:szCs w:val="20"/>
              </w:rPr>
            </w:pPr>
            <w:r w:rsidRPr="00BC4D70">
              <w:rPr>
                <w:rFonts w:eastAsia="SimSun"/>
                <w:color w:val="auto"/>
                <w:sz w:val="20"/>
                <w:szCs w:val="20"/>
              </w:rPr>
              <w:t xml:space="preserve">Number and percentage enrolled ART patients changed per protocol to a </w:t>
            </w:r>
            <w:r w:rsidR="00EA5AB6">
              <w:rPr>
                <w:rFonts w:eastAsia="SimSun"/>
                <w:color w:val="auto"/>
                <w:sz w:val="20"/>
                <w:szCs w:val="20"/>
              </w:rPr>
              <w:t>second-line regimen</w:t>
            </w:r>
            <w:r w:rsidRPr="00BC4D70">
              <w:rPr>
                <w:rFonts w:eastAsia="SimSun"/>
                <w:color w:val="auto"/>
                <w:sz w:val="20"/>
                <w:szCs w:val="20"/>
              </w:rPr>
              <w:t xml:space="preserve"> by VL testing</w:t>
            </w:r>
          </w:p>
        </w:tc>
        <w:tc>
          <w:tcPr>
            <w:tcW w:w="865" w:type="pct"/>
            <w:shd w:val="clear" w:color="auto" w:fill="auto"/>
          </w:tcPr>
          <w:p w14:paraId="0B4899FA" w14:textId="77777777" w:rsidR="00D97E3B" w:rsidRPr="00BC4D70" w:rsidRDefault="00D97E3B" w:rsidP="00873066">
            <w:pPr>
              <w:spacing w:before="60" w:after="60"/>
              <w:rPr>
                <w:color w:val="auto"/>
                <w:sz w:val="20"/>
                <w:szCs w:val="20"/>
              </w:rPr>
            </w:pPr>
            <w:r w:rsidRPr="00BC4D70">
              <w:rPr>
                <w:color w:val="auto"/>
                <w:sz w:val="20"/>
                <w:szCs w:val="20"/>
              </w:rPr>
              <w:t>16,030</w:t>
            </w:r>
          </w:p>
        </w:tc>
        <w:tc>
          <w:tcPr>
            <w:tcW w:w="675" w:type="pct"/>
            <w:shd w:val="clear" w:color="auto" w:fill="auto"/>
          </w:tcPr>
          <w:p w14:paraId="7B47B075" w14:textId="77777777" w:rsidR="00D97E3B" w:rsidRPr="00BC4D70" w:rsidRDefault="00D97E3B" w:rsidP="00873066">
            <w:pPr>
              <w:spacing w:before="60" w:after="60"/>
              <w:rPr>
                <w:color w:val="auto"/>
                <w:sz w:val="20"/>
                <w:szCs w:val="20"/>
              </w:rPr>
            </w:pPr>
            <w:r w:rsidRPr="00BC4D70">
              <w:rPr>
                <w:color w:val="auto"/>
                <w:sz w:val="20"/>
                <w:szCs w:val="20"/>
              </w:rPr>
              <w:t>4,839</w:t>
            </w:r>
          </w:p>
        </w:tc>
        <w:tc>
          <w:tcPr>
            <w:tcW w:w="790" w:type="pct"/>
            <w:shd w:val="clear" w:color="auto" w:fill="FF7F7F"/>
          </w:tcPr>
          <w:p w14:paraId="084971E4" w14:textId="77777777" w:rsidR="00D97E3B" w:rsidRPr="00BC4D70" w:rsidRDefault="00D97E3B" w:rsidP="00873066">
            <w:pPr>
              <w:spacing w:before="60" w:after="60"/>
              <w:rPr>
                <w:color w:val="auto"/>
                <w:sz w:val="20"/>
                <w:szCs w:val="20"/>
              </w:rPr>
            </w:pPr>
            <w:r w:rsidRPr="00BC4D70">
              <w:rPr>
                <w:color w:val="auto"/>
                <w:sz w:val="20"/>
                <w:szCs w:val="20"/>
              </w:rPr>
              <w:t>30%</w:t>
            </w:r>
          </w:p>
        </w:tc>
      </w:tr>
      <w:tr w:rsidR="00D97E3B" w:rsidRPr="006F32BD" w14:paraId="6070DE75" w14:textId="77777777" w:rsidTr="001D093F">
        <w:tc>
          <w:tcPr>
            <w:tcW w:w="596" w:type="pct"/>
            <w:vMerge w:val="restart"/>
          </w:tcPr>
          <w:p w14:paraId="7AA54FEF" w14:textId="77777777" w:rsidR="00D97E3B" w:rsidRPr="00BC4D70" w:rsidRDefault="00D97E3B" w:rsidP="00873066">
            <w:pPr>
              <w:spacing w:before="60" w:after="60"/>
              <w:rPr>
                <w:rFonts w:eastAsia="SimSun"/>
                <w:b/>
                <w:color w:val="auto"/>
                <w:sz w:val="20"/>
                <w:szCs w:val="20"/>
              </w:rPr>
            </w:pPr>
            <w:r w:rsidRPr="00BC4D70">
              <w:rPr>
                <w:rFonts w:eastAsia="SimSun"/>
                <w:color w:val="auto"/>
                <w:sz w:val="20"/>
                <w:szCs w:val="20"/>
              </w:rPr>
              <w:t xml:space="preserve">G3 </w:t>
            </w:r>
          </w:p>
        </w:tc>
        <w:tc>
          <w:tcPr>
            <w:tcW w:w="2074" w:type="pct"/>
            <w:vMerge w:val="restart"/>
          </w:tcPr>
          <w:p w14:paraId="32F87CAF" w14:textId="77777777" w:rsidR="00D97E3B" w:rsidRPr="00BC4D70" w:rsidRDefault="00D97E3B" w:rsidP="00873066">
            <w:pPr>
              <w:spacing w:before="60" w:after="60"/>
              <w:rPr>
                <w:rFonts w:eastAsia="SimSun"/>
                <w:b/>
                <w:color w:val="auto"/>
                <w:sz w:val="20"/>
                <w:szCs w:val="20"/>
              </w:rPr>
            </w:pPr>
            <w:r w:rsidRPr="00BC4D70">
              <w:rPr>
                <w:rFonts w:eastAsia="SimSun"/>
                <w:color w:val="auto"/>
                <w:sz w:val="20"/>
                <w:szCs w:val="20"/>
              </w:rPr>
              <w:t xml:space="preserve">Median/Average number of calendar days from EID sample collection to treatment initiation </w:t>
            </w:r>
          </w:p>
        </w:tc>
        <w:tc>
          <w:tcPr>
            <w:tcW w:w="865" w:type="pct"/>
            <w:shd w:val="clear" w:color="auto" w:fill="auto"/>
          </w:tcPr>
          <w:p w14:paraId="01D41EF8" w14:textId="77777777" w:rsidR="00D97E3B" w:rsidRPr="00BC4D70" w:rsidRDefault="00D97E3B" w:rsidP="00873066">
            <w:pPr>
              <w:spacing w:before="60" w:after="60"/>
              <w:rPr>
                <w:color w:val="auto"/>
                <w:sz w:val="20"/>
                <w:szCs w:val="20"/>
              </w:rPr>
            </w:pPr>
            <w:r w:rsidRPr="00BC4D70">
              <w:rPr>
                <w:color w:val="auto"/>
                <w:sz w:val="20"/>
                <w:szCs w:val="20"/>
              </w:rPr>
              <w:t>DRC: 7</w:t>
            </w:r>
          </w:p>
        </w:tc>
        <w:tc>
          <w:tcPr>
            <w:tcW w:w="675" w:type="pct"/>
            <w:shd w:val="clear" w:color="auto" w:fill="auto"/>
          </w:tcPr>
          <w:p w14:paraId="41B4B7F5" w14:textId="77777777" w:rsidR="00D97E3B" w:rsidRPr="00BC4D70" w:rsidRDefault="00D97E3B" w:rsidP="00873066">
            <w:pPr>
              <w:spacing w:before="60" w:after="60"/>
              <w:rPr>
                <w:color w:val="auto"/>
                <w:sz w:val="20"/>
                <w:szCs w:val="20"/>
              </w:rPr>
            </w:pPr>
            <w:r w:rsidRPr="00BC4D70">
              <w:rPr>
                <w:color w:val="auto"/>
                <w:sz w:val="20"/>
                <w:szCs w:val="20"/>
              </w:rPr>
              <w:t>30</w:t>
            </w:r>
          </w:p>
        </w:tc>
        <w:tc>
          <w:tcPr>
            <w:tcW w:w="790" w:type="pct"/>
            <w:shd w:val="clear" w:color="auto" w:fill="FF7F7F"/>
          </w:tcPr>
          <w:p w14:paraId="4D01FDC2" w14:textId="77777777" w:rsidR="00D97E3B" w:rsidRPr="00BC4D70" w:rsidRDefault="00D97E3B" w:rsidP="00873066">
            <w:pPr>
              <w:spacing w:before="60" w:after="60"/>
              <w:rPr>
                <w:color w:val="auto"/>
                <w:sz w:val="20"/>
                <w:szCs w:val="20"/>
              </w:rPr>
            </w:pPr>
            <w:r w:rsidRPr="00BC4D70">
              <w:rPr>
                <w:color w:val="auto"/>
                <w:sz w:val="20"/>
                <w:szCs w:val="20"/>
              </w:rPr>
              <w:t>Not achieved</w:t>
            </w:r>
          </w:p>
        </w:tc>
      </w:tr>
      <w:tr w:rsidR="00D97E3B" w:rsidRPr="006F32BD" w14:paraId="4B224000" w14:textId="77777777" w:rsidTr="001D093F">
        <w:tc>
          <w:tcPr>
            <w:tcW w:w="596" w:type="pct"/>
            <w:vMerge/>
          </w:tcPr>
          <w:p w14:paraId="65130651" w14:textId="77777777" w:rsidR="00D97E3B" w:rsidRPr="00BC4D70" w:rsidRDefault="00D97E3B" w:rsidP="00873066">
            <w:pPr>
              <w:spacing w:before="60" w:after="60"/>
              <w:rPr>
                <w:rFonts w:eastAsia="SimSun"/>
                <w:b/>
                <w:color w:val="auto"/>
                <w:sz w:val="20"/>
                <w:szCs w:val="20"/>
              </w:rPr>
            </w:pPr>
          </w:p>
        </w:tc>
        <w:tc>
          <w:tcPr>
            <w:tcW w:w="2074" w:type="pct"/>
            <w:vMerge/>
          </w:tcPr>
          <w:p w14:paraId="25E64D22" w14:textId="77777777" w:rsidR="00D97E3B" w:rsidRPr="00BC4D70" w:rsidRDefault="00D97E3B" w:rsidP="00873066">
            <w:pPr>
              <w:spacing w:before="60" w:after="60"/>
              <w:rPr>
                <w:rFonts w:eastAsia="SimSun"/>
                <w:b/>
                <w:color w:val="auto"/>
                <w:sz w:val="20"/>
                <w:szCs w:val="20"/>
              </w:rPr>
            </w:pPr>
          </w:p>
        </w:tc>
        <w:tc>
          <w:tcPr>
            <w:tcW w:w="865" w:type="pct"/>
            <w:shd w:val="clear" w:color="auto" w:fill="auto"/>
          </w:tcPr>
          <w:p w14:paraId="0F29E6EC" w14:textId="77777777" w:rsidR="00D97E3B" w:rsidRPr="00BC4D70" w:rsidRDefault="00D97E3B" w:rsidP="00873066">
            <w:pPr>
              <w:spacing w:before="60" w:after="60"/>
              <w:rPr>
                <w:color w:val="auto"/>
                <w:sz w:val="20"/>
                <w:szCs w:val="20"/>
              </w:rPr>
            </w:pPr>
            <w:r w:rsidRPr="00BC4D70">
              <w:rPr>
                <w:color w:val="auto"/>
                <w:sz w:val="20"/>
                <w:szCs w:val="20"/>
              </w:rPr>
              <w:t>Kenya: 15</w:t>
            </w:r>
          </w:p>
        </w:tc>
        <w:tc>
          <w:tcPr>
            <w:tcW w:w="675" w:type="pct"/>
            <w:shd w:val="clear" w:color="auto" w:fill="auto"/>
          </w:tcPr>
          <w:p w14:paraId="558CAFD8" w14:textId="77777777" w:rsidR="00D97E3B" w:rsidRPr="00BC4D70" w:rsidRDefault="00D97E3B" w:rsidP="00873066">
            <w:pPr>
              <w:spacing w:before="60" w:after="60"/>
              <w:rPr>
                <w:color w:val="auto"/>
                <w:sz w:val="20"/>
                <w:szCs w:val="20"/>
              </w:rPr>
            </w:pPr>
            <w:r w:rsidRPr="00BC4D70">
              <w:rPr>
                <w:color w:val="auto"/>
                <w:sz w:val="20"/>
                <w:szCs w:val="20"/>
              </w:rPr>
              <w:t>10</w:t>
            </w:r>
          </w:p>
        </w:tc>
        <w:tc>
          <w:tcPr>
            <w:tcW w:w="790" w:type="pct"/>
            <w:shd w:val="clear" w:color="auto" w:fill="92D050"/>
          </w:tcPr>
          <w:p w14:paraId="1142CF95" w14:textId="77777777" w:rsidR="00D97E3B" w:rsidRPr="00BC4D70" w:rsidRDefault="00D97E3B" w:rsidP="00873066">
            <w:pPr>
              <w:spacing w:before="60" w:after="60"/>
              <w:rPr>
                <w:color w:val="auto"/>
                <w:sz w:val="20"/>
                <w:szCs w:val="20"/>
              </w:rPr>
            </w:pPr>
            <w:r w:rsidRPr="00BC4D70">
              <w:rPr>
                <w:color w:val="auto"/>
                <w:sz w:val="20"/>
                <w:szCs w:val="20"/>
              </w:rPr>
              <w:t>Achieved</w:t>
            </w:r>
          </w:p>
        </w:tc>
      </w:tr>
      <w:tr w:rsidR="00D97E3B" w:rsidRPr="006F32BD" w14:paraId="69720CB4" w14:textId="77777777" w:rsidTr="001D093F">
        <w:tc>
          <w:tcPr>
            <w:tcW w:w="596" w:type="pct"/>
            <w:vMerge/>
          </w:tcPr>
          <w:p w14:paraId="7BFE14AA" w14:textId="77777777" w:rsidR="00D97E3B" w:rsidRPr="00BC4D70" w:rsidRDefault="00D97E3B" w:rsidP="00873066">
            <w:pPr>
              <w:spacing w:before="60" w:after="60"/>
              <w:rPr>
                <w:rFonts w:eastAsia="SimSun"/>
                <w:b/>
                <w:color w:val="auto"/>
                <w:sz w:val="20"/>
                <w:szCs w:val="20"/>
              </w:rPr>
            </w:pPr>
          </w:p>
        </w:tc>
        <w:tc>
          <w:tcPr>
            <w:tcW w:w="2074" w:type="pct"/>
            <w:vMerge/>
          </w:tcPr>
          <w:p w14:paraId="5D6BC7B3" w14:textId="77777777" w:rsidR="00D97E3B" w:rsidRPr="00BC4D70" w:rsidRDefault="00D97E3B" w:rsidP="00873066">
            <w:pPr>
              <w:spacing w:before="60" w:after="60"/>
              <w:rPr>
                <w:rFonts w:eastAsia="SimSun"/>
                <w:b/>
                <w:color w:val="auto"/>
                <w:sz w:val="20"/>
                <w:szCs w:val="20"/>
              </w:rPr>
            </w:pPr>
          </w:p>
        </w:tc>
        <w:tc>
          <w:tcPr>
            <w:tcW w:w="865" w:type="pct"/>
            <w:shd w:val="clear" w:color="auto" w:fill="auto"/>
          </w:tcPr>
          <w:p w14:paraId="0AD9074E" w14:textId="77777777" w:rsidR="00D97E3B" w:rsidRPr="00BC4D70" w:rsidRDefault="00D97E3B" w:rsidP="00873066">
            <w:pPr>
              <w:spacing w:before="60" w:after="60"/>
              <w:rPr>
                <w:color w:val="auto"/>
                <w:sz w:val="20"/>
                <w:szCs w:val="20"/>
              </w:rPr>
            </w:pPr>
            <w:r w:rsidRPr="00BC4D70">
              <w:rPr>
                <w:color w:val="auto"/>
                <w:sz w:val="20"/>
                <w:szCs w:val="20"/>
              </w:rPr>
              <w:t>South Africa: 1</w:t>
            </w:r>
          </w:p>
        </w:tc>
        <w:tc>
          <w:tcPr>
            <w:tcW w:w="675" w:type="pct"/>
            <w:shd w:val="clear" w:color="auto" w:fill="auto"/>
          </w:tcPr>
          <w:p w14:paraId="42F9F6AE" w14:textId="77777777" w:rsidR="00D97E3B" w:rsidRPr="00BC4D70" w:rsidRDefault="00D97E3B" w:rsidP="00873066">
            <w:pPr>
              <w:spacing w:before="60" w:after="60"/>
              <w:rPr>
                <w:color w:val="auto"/>
                <w:sz w:val="20"/>
                <w:szCs w:val="20"/>
              </w:rPr>
            </w:pPr>
            <w:r w:rsidRPr="00BC4D70">
              <w:rPr>
                <w:color w:val="auto"/>
                <w:sz w:val="20"/>
                <w:szCs w:val="20"/>
              </w:rPr>
              <w:t>1</w:t>
            </w:r>
          </w:p>
        </w:tc>
        <w:tc>
          <w:tcPr>
            <w:tcW w:w="790" w:type="pct"/>
            <w:shd w:val="clear" w:color="auto" w:fill="92D050"/>
          </w:tcPr>
          <w:p w14:paraId="0A7945A9" w14:textId="77777777" w:rsidR="00D97E3B" w:rsidRPr="00BC4D70" w:rsidRDefault="00D97E3B" w:rsidP="00873066">
            <w:pPr>
              <w:spacing w:before="60" w:after="60"/>
              <w:rPr>
                <w:color w:val="auto"/>
                <w:sz w:val="20"/>
                <w:szCs w:val="20"/>
              </w:rPr>
            </w:pPr>
            <w:r w:rsidRPr="00BC4D70">
              <w:rPr>
                <w:color w:val="auto"/>
                <w:sz w:val="20"/>
                <w:szCs w:val="20"/>
              </w:rPr>
              <w:t>Achieved</w:t>
            </w:r>
          </w:p>
        </w:tc>
      </w:tr>
      <w:tr w:rsidR="00D97E3B" w:rsidRPr="006F32BD" w14:paraId="3D703CBE" w14:textId="77777777" w:rsidTr="001D093F">
        <w:tc>
          <w:tcPr>
            <w:tcW w:w="596" w:type="pct"/>
            <w:shd w:val="clear" w:color="auto" w:fill="C6C6C6"/>
          </w:tcPr>
          <w:p w14:paraId="575E4AF4" w14:textId="77777777" w:rsidR="00D97E3B" w:rsidRPr="00BC4D70" w:rsidRDefault="00D97E3B" w:rsidP="00873066">
            <w:pPr>
              <w:spacing w:before="60" w:after="60"/>
              <w:rPr>
                <w:color w:val="auto"/>
                <w:sz w:val="20"/>
                <w:szCs w:val="20"/>
              </w:rPr>
            </w:pPr>
            <w:r w:rsidRPr="00BC4D70">
              <w:rPr>
                <w:rFonts w:eastAsia="SimSun"/>
                <w:b/>
                <w:color w:val="auto"/>
                <w:sz w:val="20"/>
                <w:szCs w:val="20"/>
              </w:rPr>
              <w:t>Purpose</w:t>
            </w:r>
          </w:p>
        </w:tc>
        <w:tc>
          <w:tcPr>
            <w:tcW w:w="4404" w:type="pct"/>
            <w:gridSpan w:val="4"/>
            <w:shd w:val="clear" w:color="auto" w:fill="C6C6C6"/>
          </w:tcPr>
          <w:p w14:paraId="576E4C41" w14:textId="4BB43BA5" w:rsidR="00D97E3B" w:rsidRPr="00BC4D70" w:rsidRDefault="00D97E3B" w:rsidP="00873066">
            <w:pPr>
              <w:spacing w:before="60" w:after="60"/>
              <w:rPr>
                <w:color w:val="auto"/>
                <w:sz w:val="20"/>
                <w:szCs w:val="20"/>
              </w:rPr>
            </w:pPr>
            <w:r w:rsidRPr="00BC4D70">
              <w:rPr>
                <w:rFonts w:eastAsia="SimSun"/>
                <w:b/>
                <w:color w:val="auto"/>
                <w:sz w:val="20"/>
                <w:szCs w:val="20"/>
              </w:rPr>
              <w:t xml:space="preserve">Increased PoC CD4, laboratory-based and PoC </w:t>
            </w:r>
            <w:r w:rsidR="007B10C8">
              <w:rPr>
                <w:rFonts w:eastAsia="SimSun"/>
                <w:b/>
                <w:color w:val="auto"/>
                <w:sz w:val="20"/>
                <w:szCs w:val="20"/>
              </w:rPr>
              <w:t>VL</w:t>
            </w:r>
            <w:r w:rsidRPr="00BC4D70">
              <w:rPr>
                <w:rFonts w:eastAsia="SimSun"/>
                <w:b/>
                <w:color w:val="auto"/>
                <w:sz w:val="20"/>
                <w:szCs w:val="20"/>
              </w:rPr>
              <w:t xml:space="preserve"> and EID testing according to evidence-based recommendations</w:t>
            </w:r>
          </w:p>
        </w:tc>
      </w:tr>
      <w:tr w:rsidR="00D97E3B" w:rsidRPr="006F32BD" w14:paraId="1EE761BB" w14:textId="77777777" w:rsidTr="001D093F">
        <w:tc>
          <w:tcPr>
            <w:tcW w:w="596" w:type="pct"/>
          </w:tcPr>
          <w:p w14:paraId="15D72AC7" w14:textId="77777777" w:rsidR="00D97E3B" w:rsidRPr="00BC4D70" w:rsidRDefault="00D97E3B" w:rsidP="00873066">
            <w:pPr>
              <w:spacing w:before="60" w:after="60"/>
              <w:rPr>
                <w:color w:val="auto"/>
                <w:sz w:val="20"/>
                <w:szCs w:val="20"/>
              </w:rPr>
            </w:pPr>
            <w:r w:rsidRPr="00BC4D70">
              <w:rPr>
                <w:rFonts w:eastAsia="SimSun"/>
                <w:color w:val="auto"/>
                <w:sz w:val="20"/>
                <w:szCs w:val="20"/>
              </w:rPr>
              <w:t>P1</w:t>
            </w:r>
          </w:p>
        </w:tc>
        <w:tc>
          <w:tcPr>
            <w:tcW w:w="2074" w:type="pct"/>
          </w:tcPr>
          <w:p w14:paraId="7A90E164" w14:textId="77777777" w:rsidR="00D97E3B" w:rsidRPr="00BC4D70" w:rsidRDefault="00D97E3B" w:rsidP="00873066">
            <w:pPr>
              <w:spacing w:before="60" w:after="60"/>
              <w:rPr>
                <w:color w:val="auto"/>
                <w:sz w:val="20"/>
                <w:szCs w:val="20"/>
              </w:rPr>
            </w:pPr>
            <w:r w:rsidRPr="00BC4D70">
              <w:rPr>
                <w:rFonts w:eastAsia="SimSun"/>
                <w:color w:val="auto"/>
                <w:sz w:val="20"/>
                <w:szCs w:val="20"/>
              </w:rPr>
              <w:t>Number of PoC CD4 tests done per MSF country project</w:t>
            </w:r>
          </w:p>
        </w:tc>
        <w:tc>
          <w:tcPr>
            <w:tcW w:w="865" w:type="pct"/>
          </w:tcPr>
          <w:p w14:paraId="2323B603" w14:textId="77777777" w:rsidR="00D97E3B" w:rsidRPr="00BC4D70" w:rsidRDefault="00D97E3B" w:rsidP="00873066">
            <w:pPr>
              <w:spacing w:before="60" w:after="60"/>
              <w:rPr>
                <w:color w:val="auto"/>
                <w:sz w:val="20"/>
                <w:szCs w:val="20"/>
              </w:rPr>
            </w:pPr>
            <w:r w:rsidRPr="00BC4D70">
              <w:rPr>
                <w:color w:val="auto"/>
                <w:sz w:val="20"/>
                <w:szCs w:val="20"/>
              </w:rPr>
              <w:t>65,659</w:t>
            </w:r>
          </w:p>
        </w:tc>
        <w:tc>
          <w:tcPr>
            <w:tcW w:w="675" w:type="pct"/>
          </w:tcPr>
          <w:p w14:paraId="2C0A4E28" w14:textId="77777777" w:rsidR="00D97E3B" w:rsidRPr="00BC4D70" w:rsidRDefault="00D97E3B" w:rsidP="00873066">
            <w:pPr>
              <w:spacing w:before="60" w:after="60"/>
              <w:rPr>
                <w:color w:val="auto"/>
                <w:sz w:val="20"/>
                <w:szCs w:val="20"/>
              </w:rPr>
            </w:pPr>
            <w:r w:rsidRPr="00BC4D70">
              <w:rPr>
                <w:color w:val="auto"/>
                <w:sz w:val="20"/>
                <w:szCs w:val="20"/>
              </w:rPr>
              <w:t>71,125</w:t>
            </w:r>
          </w:p>
        </w:tc>
        <w:tc>
          <w:tcPr>
            <w:tcW w:w="790" w:type="pct"/>
            <w:shd w:val="clear" w:color="auto" w:fill="92D050"/>
          </w:tcPr>
          <w:p w14:paraId="22652FCC" w14:textId="77777777" w:rsidR="00D97E3B" w:rsidRPr="00BC4D70" w:rsidRDefault="00D97E3B" w:rsidP="00873066">
            <w:pPr>
              <w:spacing w:before="60" w:after="60"/>
              <w:rPr>
                <w:color w:val="auto"/>
                <w:sz w:val="20"/>
                <w:szCs w:val="20"/>
              </w:rPr>
            </w:pPr>
            <w:r w:rsidRPr="00BC4D70">
              <w:rPr>
                <w:color w:val="auto"/>
                <w:sz w:val="20"/>
                <w:szCs w:val="20"/>
              </w:rPr>
              <w:t>108%</w:t>
            </w:r>
          </w:p>
        </w:tc>
      </w:tr>
      <w:tr w:rsidR="00D97E3B" w:rsidRPr="006F32BD" w14:paraId="3AC2F585" w14:textId="77777777" w:rsidTr="001D093F">
        <w:tc>
          <w:tcPr>
            <w:tcW w:w="596" w:type="pct"/>
          </w:tcPr>
          <w:p w14:paraId="2D9CF463" w14:textId="77777777" w:rsidR="00D97E3B" w:rsidRPr="00BC4D70" w:rsidRDefault="00D97E3B" w:rsidP="00873066">
            <w:pPr>
              <w:spacing w:before="60" w:after="60"/>
              <w:rPr>
                <w:color w:val="auto"/>
                <w:sz w:val="20"/>
                <w:szCs w:val="20"/>
              </w:rPr>
            </w:pPr>
            <w:r w:rsidRPr="00BC4D70">
              <w:rPr>
                <w:rFonts w:eastAsia="SimSun"/>
                <w:color w:val="auto"/>
                <w:sz w:val="20"/>
                <w:szCs w:val="20"/>
              </w:rPr>
              <w:t>P2</w:t>
            </w:r>
          </w:p>
        </w:tc>
        <w:tc>
          <w:tcPr>
            <w:tcW w:w="2074" w:type="pct"/>
          </w:tcPr>
          <w:p w14:paraId="79584F4E" w14:textId="5C6105A1" w:rsidR="00D97E3B" w:rsidRPr="00BC4D70" w:rsidRDefault="00D97E3B" w:rsidP="00873066">
            <w:pPr>
              <w:spacing w:before="60" w:after="60"/>
              <w:rPr>
                <w:color w:val="auto"/>
                <w:sz w:val="20"/>
                <w:szCs w:val="20"/>
              </w:rPr>
            </w:pPr>
            <w:r w:rsidRPr="00BC4D70">
              <w:rPr>
                <w:rFonts w:eastAsia="SimSun"/>
                <w:color w:val="auto"/>
                <w:sz w:val="20"/>
                <w:szCs w:val="20"/>
              </w:rPr>
              <w:t xml:space="preserve">Number of </w:t>
            </w:r>
            <w:r w:rsidR="007B10C8">
              <w:rPr>
                <w:rFonts w:eastAsia="SimSun"/>
                <w:color w:val="auto"/>
                <w:sz w:val="20"/>
                <w:szCs w:val="20"/>
              </w:rPr>
              <w:t>VL</w:t>
            </w:r>
            <w:r w:rsidRPr="00BC4D70">
              <w:rPr>
                <w:rFonts w:eastAsia="SimSun"/>
                <w:color w:val="auto"/>
                <w:sz w:val="20"/>
                <w:szCs w:val="20"/>
              </w:rPr>
              <w:t xml:space="preserve"> tests done per MSF country project</w:t>
            </w:r>
          </w:p>
        </w:tc>
        <w:tc>
          <w:tcPr>
            <w:tcW w:w="865" w:type="pct"/>
          </w:tcPr>
          <w:p w14:paraId="4BE75F44" w14:textId="77777777" w:rsidR="00D97E3B" w:rsidRPr="00BC4D70" w:rsidRDefault="00D97E3B" w:rsidP="00873066">
            <w:pPr>
              <w:spacing w:before="60" w:after="60"/>
              <w:rPr>
                <w:color w:val="auto"/>
                <w:sz w:val="20"/>
                <w:szCs w:val="20"/>
              </w:rPr>
            </w:pPr>
            <w:r w:rsidRPr="00BC4D70">
              <w:rPr>
                <w:color w:val="auto"/>
                <w:sz w:val="20"/>
                <w:szCs w:val="20"/>
              </w:rPr>
              <w:t>540,690</w:t>
            </w:r>
          </w:p>
        </w:tc>
        <w:tc>
          <w:tcPr>
            <w:tcW w:w="675" w:type="pct"/>
          </w:tcPr>
          <w:p w14:paraId="063E9E54" w14:textId="77777777" w:rsidR="00D97E3B" w:rsidRPr="00BC4D70" w:rsidRDefault="00D97E3B" w:rsidP="00873066">
            <w:pPr>
              <w:spacing w:before="60" w:after="60"/>
              <w:rPr>
                <w:color w:val="auto"/>
                <w:sz w:val="20"/>
                <w:szCs w:val="20"/>
              </w:rPr>
            </w:pPr>
            <w:r w:rsidRPr="00BC4D70">
              <w:rPr>
                <w:color w:val="auto"/>
                <w:sz w:val="20"/>
                <w:szCs w:val="20"/>
              </w:rPr>
              <w:t>426,181</w:t>
            </w:r>
          </w:p>
        </w:tc>
        <w:tc>
          <w:tcPr>
            <w:tcW w:w="790" w:type="pct"/>
            <w:shd w:val="clear" w:color="auto" w:fill="FF7F7F"/>
          </w:tcPr>
          <w:p w14:paraId="2B4CC233" w14:textId="77777777" w:rsidR="00D97E3B" w:rsidRPr="00BC4D70" w:rsidRDefault="00D97E3B" w:rsidP="00873066">
            <w:pPr>
              <w:spacing w:before="60" w:after="60"/>
              <w:rPr>
                <w:color w:val="auto"/>
                <w:sz w:val="20"/>
                <w:szCs w:val="20"/>
              </w:rPr>
            </w:pPr>
            <w:r w:rsidRPr="00BC4D70">
              <w:rPr>
                <w:color w:val="auto"/>
                <w:sz w:val="20"/>
                <w:szCs w:val="20"/>
              </w:rPr>
              <w:t>79%</w:t>
            </w:r>
          </w:p>
        </w:tc>
      </w:tr>
      <w:tr w:rsidR="00713EB0" w:rsidRPr="006F32BD" w14:paraId="7E6E036C" w14:textId="77777777" w:rsidTr="001D093F">
        <w:tc>
          <w:tcPr>
            <w:tcW w:w="596" w:type="pct"/>
          </w:tcPr>
          <w:p w14:paraId="6451C4BC" w14:textId="77777777" w:rsidR="00713EB0" w:rsidRPr="00BC4D70" w:rsidRDefault="00713EB0" w:rsidP="00713EB0">
            <w:pPr>
              <w:spacing w:before="60" w:after="60"/>
              <w:rPr>
                <w:color w:val="auto"/>
                <w:sz w:val="20"/>
                <w:szCs w:val="20"/>
              </w:rPr>
            </w:pPr>
            <w:r w:rsidRPr="00BC4D70">
              <w:rPr>
                <w:rFonts w:eastAsia="SimSun"/>
                <w:color w:val="auto"/>
                <w:sz w:val="20"/>
                <w:szCs w:val="20"/>
              </w:rPr>
              <w:t>P3</w:t>
            </w:r>
          </w:p>
        </w:tc>
        <w:tc>
          <w:tcPr>
            <w:tcW w:w="2074" w:type="pct"/>
          </w:tcPr>
          <w:p w14:paraId="2FF53CD6" w14:textId="77777777" w:rsidR="00713EB0" w:rsidRPr="00BC4D70" w:rsidRDefault="00713EB0" w:rsidP="00713EB0">
            <w:pPr>
              <w:spacing w:before="60" w:after="60"/>
              <w:rPr>
                <w:color w:val="auto"/>
                <w:sz w:val="20"/>
                <w:szCs w:val="20"/>
              </w:rPr>
            </w:pPr>
            <w:r w:rsidRPr="00BC4D70">
              <w:rPr>
                <w:rFonts w:eastAsia="SimSun"/>
                <w:color w:val="auto"/>
                <w:sz w:val="20"/>
                <w:szCs w:val="20"/>
              </w:rPr>
              <w:t>Number of EID tests done per MSF country project</w:t>
            </w:r>
          </w:p>
        </w:tc>
        <w:tc>
          <w:tcPr>
            <w:tcW w:w="865" w:type="pct"/>
          </w:tcPr>
          <w:p w14:paraId="6E2B9DBA" w14:textId="1C68CBF3" w:rsidR="00713EB0" w:rsidRPr="00BC4D70" w:rsidRDefault="00713EB0" w:rsidP="00713EB0">
            <w:pPr>
              <w:spacing w:before="60" w:after="60"/>
              <w:rPr>
                <w:color w:val="auto"/>
                <w:sz w:val="20"/>
                <w:szCs w:val="20"/>
              </w:rPr>
            </w:pPr>
            <w:r w:rsidRPr="00BC4D70">
              <w:rPr>
                <w:color w:val="auto"/>
                <w:sz w:val="20"/>
                <w:szCs w:val="20"/>
              </w:rPr>
              <w:t>12,261</w:t>
            </w:r>
          </w:p>
        </w:tc>
        <w:tc>
          <w:tcPr>
            <w:tcW w:w="675" w:type="pct"/>
          </w:tcPr>
          <w:p w14:paraId="1A4EED6C" w14:textId="055CCCC7" w:rsidR="00713EB0" w:rsidRPr="00BC4D70" w:rsidRDefault="00713EB0" w:rsidP="00713EB0">
            <w:pPr>
              <w:spacing w:before="60" w:after="60"/>
              <w:rPr>
                <w:color w:val="auto"/>
                <w:sz w:val="20"/>
                <w:szCs w:val="20"/>
              </w:rPr>
            </w:pPr>
            <w:r w:rsidRPr="00BC4D70">
              <w:rPr>
                <w:color w:val="auto"/>
                <w:sz w:val="20"/>
                <w:szCs w:val="20"/>
              </w:rPr>
              <w:t>5,875</w:t>
            </w:r>
          </w:p>
        </w:tc>
        <w:tc>
          <w:tcPr>
            <w:tcW w:w="790" w:type="pct"/>
            <w:shd w:val="clear" w:color="auto" w:fill="FF7F7F"/>
          </w:tcPr>
          <w:p w14:paraId="60F6FDA8" w14:textId="76E54A45" w:rsidR="00713EB0" w:rsidRPr="00BC4D70" w:rsidRDefault="00713EB0" w:rsidP="00713EB0">
            <w:pPr>
              <w:spacing w:before="60" w:after="60"/>
              <w:rPr>
                <w:color w:val="auto"/>
                <w:sz w:val="20"/>
                <w:szCs w:val="20"/>
              </w:rPr>
            </w:pPr>
            <w:r w:rsidRPr="00BC4D70">
              <w:rPr>
                <w:color w:val="auto"/>
                <w:sz w:val="20"/>
                <w:szCs w:val="20"/>
              </w:rPr>
              <w:t>48%</w:t>
            </w:r>
          </w:p>
        </w:tc>
      </w:tr>
      <w:tr w:rsidR="00D97E3B" w:rsidRPr="006F32BD" w14:paraId="3756C7C0" w14:textId="77777777" w:rsidTr="001D093F">
        <w:tc>
          <w:tcPr>
            <w:tcW w:w="596" w:type="pct"/>
            <w:shd w:val="clear" w:color="auto" w:fill="BFBFBF" w:themeFill="background1" w:themeFillShade="BF"/>
          </w:tcPr>
          <w:p w14:paraId="5D864DEE" w14:textId="77777777" w:rsidR="00D97E3B" w:rsidRPr="00BC4D70" w:rsidRDefault="00D97E3B" w:rsidP="00873066">
            <w:pPr>
              <w:spacing w:before="60" w:after="60"/>
              <w:rPr>
                <w:rFonts w:eastAsia="SimSun"/>
                <w:b/>
                <w:color w:val="auto"/>
                <w:sz w:val="20"/>
                <w:szCs w:val="20"/>
              </w:rPr>
            </w:pPr>
            <w:r w:rsidRPr="00BC4D70">
              <w:rPr>
                <w:rFonts w:eastAsia="SimSun"/>
                <w:b/>
                <w:color w:val="auto"/>
                <w:sz w:val="20"/>
                <w:szCs w:val="20"/>
              </w:rPr>
              <w:t xml:space="preserve">Output 1 </w:t>
            </w:r>
          </w:p>
        </w:tc>
        <w:tc>
          <w:tcPr>
            <w:tcW w:w="4404" w:type="pct"/>
            <w:gridSpan w:val="4"/>
            <w:shd w:val="clear" w:color="auto" w:fill="BFBFBF" w:themeFill="background1" w:themeFillShade="BF"/>
          </w:tcPr>
          <w:p w14:paraId="04687B81" w14:textId="77777777" w:rsidR="00D97E3B" w:rsidRPr="00BC4D70" w:rsidRDefault="00D97E3B" w:rsidP="00873066">
            <w:pPr>
              <w:pStyle w:val="CEPATabletext"/>
              <w:rPr>
                <w:rFonts w:eastAsiaTheme="minorHAnsi"/>
                <w:b/>
                <w:color w:val="auto"/>
                <w:sz w:val="20"/>
                <w:szCs w:val="20"/>
              </w:rPr>
            </w:pPr>
            <w:r w:rsidRPr="00BC4D70">
              <w:rPr>
                <w:rFonts w:eastAsiaTheme="minorHAnsi"/>
                <w:b/>
                <w:color w:val="auto"/>
                <w:sz w:val="20"/>
                <w:szCs w:val="20"/>
              </w:rPr>
              <w:t>Use of PoC CD4 testing in resource-constrained settings to generate evidence-based recommendations</w:t>
            </w:r>
          </w:p>
        </w:tc>
      </w:tr>
      <w:tr w:rsidR="00D97E3B" w:rsidRPr="006F32BD" w14:paraId="6AE4D10E" w14:textId="77777777" w:rsidTr="001D093F">
        <w:tc>
          <w:tcPr>
            <w:tcW w:w="596" w:type="pct"/>
            <w:shd w:val="clear" w:color="auto" w:fill="auto"/>
          </w:tcPr>
          <w:p w14:paraId="1739D9F5"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O.1.1</w:t>
            </w:r>
          </w:p>
        </w:tc>
        <w:tc>
          <w:tcPr>
            <w:tcW w:w="2074" w:type="pct"/>
            <w:shd w:val="clear" w:color="auto" w:fill="auto"/>
          </w:tcPr>
          <w:p w14:paraId="216B513D"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 pre-ART patients LTFU after PoC CD4 testing confirmed treatment eligibility</w:t>
            </w:r>
          </w:p>
        </w:tc>
        <w:tc>
          <w:tcPr>
            <w:tcW w:w="865" w:type="pct"/>
            <w:shd w:val="clear" w:color="auto" w:fill="auto"/>
          </w:tcPr>
          <w:p w14:paraId="2D1864B5"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&lt;15%</w:t>
            </w:r>
          </w:p>
        </w:tc>
        <w:tc>
          <w:tcPr>
            <w:tcW w:w="1465" w:type="pct"/>
            <w:gridSpan w:val="2"/>
            <w:shd w:val="clear" w:color="auto" w:fill="auto"/>
          </w:tcPr>
          <w:p w14:paraId="1BDC3B8A"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Dropped after 2015 annual report</w:t>
            </w:r>
          </w:p>
        </w:tc>
      </w:tr>
      <w:tr w:rsidR="00D97E3B" w:rsidRPr="006F32BD" w14:paraId="74D6F69B" w14:textId="77777777" w:rsidTr="001D093F">
        <w:tc>
          <w:tcPr>
            <w:tcW w:w="596" w:type="pct"/>
            <w:shd w:val="clear" w:color="auto" w:fill="auto"/>
          </w:tcPr>
          <w:p w14:paraId="67350191"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O.1.2</w:t>
            </w:r>
          </w:p>
        </w:tc>
        <w:tc>
          <w:tcPr>
            <w:tcW w:w="2074" w:type="pct"/>
            <w:shd w:val="clear" w:color="auto" w:fill="auto"/>
          </w:tcPr>
          <w:p w14:paraId="7789FEB3"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 xml:space="preserve">% patients receiving PoC CD4 results from their provider during same medical visit  </w:t>
            </w:r>
          </w:p>
        </w:tc>
        <w:tc>
          <w:tcPr>
            <w:tcW w:w="865" w:type="pct"/>
            <w:shd w:val="clear" w:color="auto" w:fill="auto"/>
          </w:tcPr>
          <w:p w14:paraId="03FD0FDE"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&gt;90%</w:t>
            </w:r>
          </w:p>
        </w:tc>
        <w:tc>
          <w:tcPr>
            <w:tcW w:w="1465" w:type="pct"/>
            <w:gridSpan w:val="2"/>
            <w:shd w:val="clear" w:color="auto" w:fill="auto"/>
          </w:tcPr>
          <w:p w14:paraId="1E566E6C"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Dropped after 2015 annual report</w:t>
            </w:r>
          </w:p>
        </w:tc>
      </w:tr>
      <w:tr w:rsidR="00D97E3B" w:rsidRPr="006F32BD" w14:paraId="41A38801" w14:textId="77777777" w:rsidTr="001D093F">
        <w:tc>
          <w:tcPr>
            <w:tcW w:w="596" w:type="pct"/>
            <w:shd w:val="clear" w:color="auto" w:fill="C6C6C6"/>
          </w:tcPr>
          <w:p w14:paraId="75BF7C2F" w14:textId="77777777" w:rsidR="00D97E3B" w:rsidRPr="00BC4D70" w:rsidRDefault="00D97E3B" w:rsidP="00873066">
            <w:pPr>
              <w:spacing w:before="60" w:after="60"/>
              <w:rPr>
                <w:b/>
                <w:color w:val="auto"/>
                <w:sz w:val="20"/>
                <w:szCs w:val="20"/>
              </w:rPr>
            </w:pPr>
            <w:r w:rsidRPr="00BC4D70">
              <w:rPr>
                <w:b/>
                <w:color w:val="auto"/>
                <w:sz w:val="20"/>
                <w:szCs w:val="20"/>
              </w:rPr>
              <w:t>Output 2</w:t>
            </w:r>
          </w:p>
        </w:tc>
        <w:tc>
          <w:tcPr>
            <w:tcW w:w="4404" w:type="pct"/>
            <w:gridSpan w:val="4"/>
            <w:shd w:val="clear" w:color="auto" w:fill="C6C6C6"/>
          </w:tcPr>
          <w:p w14:paraId="4E0C1C39" w14:textId="1121CAE2" w:rsidR="00D97E3B" w:rsidRPr="00BC4D70" w:rsidRDefault="00D97E3B" w:rsidP="00873066">
            <w:pPr>
              <w:spacing w:before="60" w:after="60"/>
              <w:rPr>
                <w:b/>
                <w:color w:val="auto"/>
                <w:sz w:val="20"/>
                <w:szCs w:val="20"/>
              </w:rPr>
            </w:pPr>
            <w:r w:rsidRPr="00BC4D70">
              <w:rPr>
                <w:b/>
                <w:color w:val="auto"/>
                <w:sz w:val="20"/>
                <w:szCs w:val="20"/>
              </w:rPr>
              <w:t xml:space="preserve">Use of district/regional laboratory-based </w:t>
            </w:r>
            <w:r w:rsidR="007B10C8">
              <w:rPr>
                <w:b/>
                <w:color w:val="auto"/>
                <w:sz w:val="20"/>
                <w:szCs w:val="20"/>
              </w:rPr>
              <w:t>VL</w:t>
            </w:r>
            <w:r w:rsidRPr="00BC4D70">
              <w:rPr>
                <w:b/>
                <w:color w:val="auto"/>
                <w:sz w:val="20"/>
                <w:szCs w:val="20"/>
              </w:rPr>
              <w:t xml:space="preserve"> testing in resource-constrained settings to generate evidence-based recommendations</w:t>
            </w:r>
          </w:p>
        </w:tc>
      </w:tr>
      <w:tr w:rsidR="00D97E3B" w:rsidRPr="006F32BD" w14:paraId="4D8DCB47" w14:textId="77777777" w:rsidTr="001D093F">
        <w:tc>
          <w:tcPr>
            <w:tcW w:w="596" w:type="pct"/>
            <w:shd w:val="clear" w:color="auto" w:fill="auto"/>
          </w:tcPr>
          <w:p w14:paraId="39A56B46"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O.2.1</w:t>
            </w:r>
          </w:p>
        </w:tc>
        <w:tc>
          <w:tcPr>
            <w:tcW w:w="2074" w:type="pct"/>
            <w:shd w:val="clear" w:color="auto" w:fill="auto"/>
          </w:tcPr>
          <w:p w14:paraId="1A113F43" w14:textId="5870E7F6" w:rsidR="00D97E3B" w:rsidRPr="00BC4D70" w:rsidRDefault="00D97E3B" w:rsidP="00873066">
            <w:pPr>
              <w:spacing w:before="60" w:after="60"/>
              <w:jc w:val="left"/>
              <w:rPr>
                <w:rFonts w:eastAsia="Calibri"/>
                <w:color w:val="A6A6A6" w:themeColor="background1" w:themeShade="A6"/>
                <w:sz w:val="20"/>
                <w:szCs w:val="20"/>
              </w:rPr>
            </w:pPr>
            <w:r w:rsidRPr="00BC4D70">
              <w:rPr>
                <w:rFonts w:eastAsia="Calibri"/>
                <w:color w:val="A6A6A6" w:themeColor="background1" w:themeShade="A6"/>
                <w:sz w:val="20"/>
                <w:szCs w:val="20"/>
              </w:rPr>
              <w:t xml:space="preserve"># newly-initiated ART patients district/regional lab-based </w:t>
            </w:r>
            <w:r w:rsidR="007B10C8">
              <w:rPr>
                <w:rFonts w:eastAsia="Calibri"/>
                <w:color w:val="A6A6A6" w:themeColor="background1" w:themeShade="A6"/>
                <w:sz w:val="20"/>
                <w:szCs w:val="20"/>
              </w:rPr>
              <w:t>VL</w:t>
            </w:r>
            <w:r w:rsidRPr="00BC4D70">
              <w:rPr>
                <w:rFonts w:eastAsia="Calibri"/>
                <w:color w:val="A6A6A6" w:themeColor="background1" w:themeShade="A6"/>
                <w:sz w:val="20"/>
                <w:szCs w:val="20"/>
              </w:rPr>
              <w:t xml:space="preserve"> tested for early adherence</w:t>
            </w:r>
          </w:p>
        </w:tc>
        <w:tc>
          <w:tcPr>
            <w:tcW w:w="865" w:type="pct"/>
            <w:shd w:val="clear" w:color="auto" w:fill="auto"/>
          </w:tcPr>
          <w:p w14:paraId="22B4B739" w14:textId="77777777" w:rsidR="00D97E3B" w:rsidRPr="00BC4D70" w:rsidRDefault="00D97E3B" w:rsidP="00873066">
            <w:pPr>
              <w:spacing w:before="60" w:after="60"/>
              <w:jc w:val="left"/>
              <w:rPr>
                <w:color w:val="A6A6A6" w:themeColor="background1" w:themeShade="A6"/>
                <w:sz w:val="20"/>
                <w:szCs w:val="20"/>
              </w:rPr>
            </w:pPr>
            <w:r w:rsidRPr="00BC4D70">
              <w:rPr>
                <w:color w:val="A6A6A6" w:themeColor="background1" w:themeShade="A6"/>
                <w:sz w:val="20"/>
                <w:szCs w:val="20"/>
              </w:rPr>
              <w:t>10,000 total for all countries</w:t>
            </w:r>
          </w:p>
        </w:tc>
        <w:tc>
          <w:tcPr>
            <w:tcW w:w="1465" w:type="pct"/>
            <w:gridSpan w:val="2"/>
            <w:shd w:val="clear" w:color="auto" w:fill="auto"/>
          </w:tcPr>
          <w:p w14:paraId="09E5BCEF"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Dropped after 2015 annual report</w:t>
            </w:r>
          </w:p>
        </w:tc>
      </w:tr>
      <w:tr w:rsidR="00D97E3B" w:rsidRPr="006F32BD" w14:paraId="7D33B56D" w14:textId="77777777" w:rsidTr="001D093F">
        <w:tc>
          <w:tcPr>
            <w:tcW w:w="596" w:type="pct"/>
            <w:shd w:val="clear" w:color="auto" w:fill="auto"/>
          </w:tcPr>
          <w:p w14:paraId="53BC544F"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O.2.2</w:t>
            </w:r>
          </w:p>
        </w:tc>
        <w:tc>
          <w:tcPr>
            <w:tcW w:w="2074" w:type="pct"/>
            <w:shd w:val="clear" w:color="auto" w:fill="auto"/>
          </w:tcPr>
          <w:p w14:paraId="7AFB3BA7" w14:textId="7E7FBA7B" w:rsidR="00D97E3B" w:rsidRPr="00BC4D70" w:rsidRDefault="00D97E3B" w:rsidP="00873066">
            <w:pPr>
              <w:spacing w:before="60" w:after="60"/>
              <w:rPr>
                <w:rFonts w:eastAsia="Calibri"/>
                <w:color w:val="A6A6A6" w:themeColor="background1" w:themeShade="A6"/>
                <w:sz w:val="20"/>
                <w:szCs w:val="20"/>
              </w:rPr>
            </w:pPr>
            <w:r w:rsidRPr="00BC4D70">
              <w:rPr>
                <w:rFonts w:eastAsia="Calibri"/>
                <w:color w:val="A6A6A6" w:themeColor="background1" w:themeShade="A6"/>
                <w:sz w:val="20"/>
                <w:szCs w:val="20"/>
              </w:rPr>
              <w:t xml:space="preserve"># stable ART patients tested by routine district/regional lab-based </w:t>
            </w:r>
            <w:r w:rsidR="007B10C8">
              <w:rPr>
                <w:rFonts w:eastAsia="Calibri"/>
                <w:color w:val="A6A6A6" w:themeColor="background1" w:themeShade="A6"/>
                <w:sz w:val="20"/>
                <w:szCs w:val="20"/>
              </w:rPr>
              <w:t>VL</w:t>
            </w:r>
            <w:r w:rsidRPr="00BC4D70">
              <w:rPr>
                <w:rFonts w:eastAsia="Calibri"/>
                <w:color w:val="A6A6A6" w:themeColor="background1" w:themeShade="A6"/>
                <w:sz w:val="20"/>
                <w:szCs w:val="20"/>
              </w:rPr>
              <w:t xml:space="preserve"> follow-up</w:t>
            </w:r>
          </w:p>
        </w:tc>
        <w:tc>
          <w:tcPr>
            <w:tcW w:w="865" w:type="pct"/>
            <w:shd w:val="clear" w:color="auto" w:fill="auto"/>
          </w:tcPr>
          <w:p w14:paraId="132C7786"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70,000</w:t>
            </w:r>
          </w:p>
        </w:tc>
        <w:tc>
          <w:tcPr>
            <w:tcW w:w="1465" w:type="pct"/>
            <w:gridSpan w:val="2"/>
            <w:shd w:val="clear" w:color="auto" w:fill="auto"/>
          </w:tcPr>
          <w:p w14:paraId="2BF1FAEA"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Dropped after 2015 annual report</w:t>
            </w:r>
          </w:p>
        </w:tc>
      </w:tr>
      <w:tr w:rsidR="00D97E3B" w:rsidRPr="006F32BD" w14:paraId="65A85183" w14:textId="77777777" w:rsidTr="001D093F">
        <w:tc>
          <w:tcPr>
            <w:tcW w:w="596" w:type="pct"/>
            <w:vMerge w:val="restart"/>
          </w:tcPr>
          <w:p w14:paraId="43C40F4F" w14:textId="77777777" w:rsidR="00D97E3B" w:rsidRPr="00BC4D70" w:rsidRDefault="00D97E3B" w:rsidP="00873066">
            <w:pPr>
              <w:spacing w:before="60" w:after="60"/>
              <w:rPr>
                <w:color w:val="auto"/>
                <w:sz w:val="20"/>
                <w:szCs w:val="20"/>
              </w:rPr>
            </w:pPr>
            <w:r w:rsidRPr="00BC4D70">
              <w:rPr>
                <w:rFonts w:eastAsia="SimSun"/>
                <w:color w:val="auto"/>
                <w:sz w:val="20"/>
                <w:szCs w:val="20"/>
              </w:rPr>
              <w:t>O.2.3</w:t>
            </w:r>
          </w:p>
        </w:tc>
        <w:tc>
          <w:tcPr>
            <w:tcW w:w="2074" w:type="pct"/>
            <w:vMerge w:val="restart"/>
          </w:tcPr>
          <w:p w14:paraId="538C1527" w14:textId="77777777" w:rsidR="00D97E3B" w:rsidRPr="00BC4D70" w:rsidRDefault="00D97E3B" w:rsidP="00873066">
            <w:pPr>
              <w:spacing w:before="60" w:after="60"/>
              <w:rPr>
                <w:color w:val="auto"/>
                <w:sz w:val="20"/>
                <w:szCs w:val="20"/>
              </w:rPr>
            </w:pPr>
            <w:r w:rsidRPr="00BC4D70">
              <w:rPr>
                <w:rFonts w:eastAsia="Calibri"/>
                <w:color w:val="auto"/>
                <w:sz w:val="20"/>
                <w:szCs w:val="20"/>
              </w:rPr>
              <w:t>Average number of calendar days between VL sample collection and results are ready to be sent from the laboratory</w:t>
            </w:r>
          </w:p>
        </w:tc>
        <w:tc>
          <w:tcPr>
            <w:tcW w:w="865" w:type="pct"/>
          </w:tcPr>
          <w:p w14:paraId="40144FA3" w14:textId="77777777" w:rsidR="00D97E3B" w:rsidRPr="00BC4D70" w:rsidRDefault="00D97E3B" w:rsidP="00873066">
            <w:pPr>
              <w:spacing w:before="60" w:after="60"/>
              <w:rPr>
                <w:color w:val="auto"/>
                <w:sz w:val="20"/>
                <w:szCs w:val="20"/>
              </w:rPr>
            </w:pPr>
            <w:r w:rsidRPr="00BC4D70">
              <w:rPr>
                <w:color w:val="auto"/>
                <w:sz w:val="20"/>
                <w:szCs w:val="20"/>
              </w:rPr>
              <w:t>Malawi: 1</w:t>
            </w:r>
          </w:p>
        </w:tc>
        <w:tc>
          <w:tcPr>
            <w:tcW w:w="675" w:type="pct"/>
          </w:tcPr>
          <w:p w14:paraId="663FEB37" w14:textId="77777777" w:rsidR="00D97E3B" w:rsidRPr="00BC4D70" w:rsidRDefault="00D97E3B" w:rsidP="00873066">
            <w:pPr>
              <w:spacing w:before="60" w:after="60"/>
              <w:rPr>
                <w:color w:val="auto"/>
                <w:sz w:val="20"/>
                <w:szCs w:val="20"/>
              </w:rPr>
            </w:pPr>
            <w:r w:rsidRPr="00BC4D70">
              <w:rPr>
                <w:color w:val="auto"/>
                <w:sz w:val="20"/>
                <w:szCs w:val="20"/>
              </w:rPr>
              <w:t>1.5</w:t>
            </w:r>
          </w:p>
        </w:tc>
        <w:tc>
          <w:tcPr>
            <w:tcW w:w="790" w:type="pct"/>
            <w:shd w:val="clear" w:color="auto" w:fill="FF7F7F"/>
          </w:tcPr>
          <w:p w14:paraId="3D2F965D" w14:textId="77777777" w:rsidR="00D97E3B" w:rsidRPr="00BC4D70" w:rsidRDefault="00D97E3B" w:rsidP="00873066">
            <w:pPr>
              <w:spacing w:before="60" w:after="60"/>
              <w:rPr>
                <w:color w:val="auto"/>
                <w:sz w:val="20"/>
                <w:szCs w:val="20"/>
              </w:rPr>
            </w:pPr>
            <w:r w:rsidRPr="00BC4D70">
              <w:rPr>
                <w:color w:val="auto"/>
                <w:sz w:val="20"/>
                <w:szCs w:val="20"/>
              </w:rPr>
              <w:t>Not achieved</w:t>
            </w:r>
          </w:p>
        </w:tc>
      </w:tr>
      <w:tr w:rsidR="00D97E3B" w:rsidRPr="006F32BD" w14:paraId="00471B44" w14:textId="77777777" w:rsidTr="001D093F">
        <w:tc>
          <w:tcPr>
            <w:tcW w:w="596" w:type="pct"/>
            <w:vMerge/>
          </w:tcPr>
          <w:p w14:paraId="054C05BB" w14:textId="77777777" w:rsidR="00D97E3B" w:rsidRPr="00BC4D70" w:rsidRDefault="00D97E3B" w:rsidP="00873066">
            <w:pPr>
              <w:spacing w:before="60" w:after="60"/>
              <w:rPr>
                <w:color w:val="auto"/>
                <w:sz w:val="20"/>
                <w:szCs w:val="20"/>
              </w:rPr>
            </w:pPr>
          </w:p>
        </w:tc>
        <w:tc>
          <w:tcPr>
            <w:tcW w:w="2074" w:type="pct"/>
            <w:vMerge/>
          </w:tcPr>
          <w:p w14:paraId="50848311" w14:textId="77777777" w:rsidR="00D97E3B" w:rsidRPr="00BC4D70" w:rsidRDefault="00D97E3B" w:rsidP="00873066">
            <w:pPr>
              <w:spacing w:before="60" w:after="60"/>
              <w:rPr>
                <w:color w:val="auto"/>
                <w:sz w:val="20"/>
                <w:szCs w:val="20"/>
              </w:rPr>
            </w:pPr>
          </w:p>
        </w:tc>
        <w:tc>
          <w:tcPr>
            <w:tcW w:w="865" w:type="pct"/>
          </w:tcPr>
          <w:p w14:paraId="06A4FC7E" w14:textId="77777777" w:rsidR="00D97E3B" w:rsidRPr="00BC4D70" w:rsidRDefault="00D97E3B" w:rsidP="00873066">
            <w:pPr>
              <w:spacing w:before="60" w:after="60"/>
              <w:rPr>
                <w:color w:val="auto"/>
                <w:sz w:val="20"/>
                <w:szCs w:val="20"/>
              </w:rPr>
            </w:pPr>
            <w:r w:rsidRPr="00BC4D70">
              <w:rPr>
                <w:color w:val="auto"/>
                <w:sz w:val="20"/>
                <w:szCs w:val="20"/>
              </w:rPr>
              <w:t>Mozambique: 30</w:t>
            </w:r>
          </w:p>
        </w:tc>
        <w:tc>
          <w:tcPr>
            <w:tcW w:w="675" w:type="pct"/>
          </w:tcPr>
          <w:p w14:paraId="02773509" w14:textId="77777777" w:rsidR="00D97E3B" w:rsidRPr="00BC4D70" w:rsidRDefault="00D97E3B" w:rsidP="00873066">
            <w:pPr>
              <w:spacing w:before="60" w:after="60"/>
              <w:rPr>
                <w:color w:val="auto"/>
                <w:sz w:val="20"/>
                <w:szCs w:val="20"/>
              </w:rPr>
            </w:pPr>
            <w:r w:rsidRPr="00BC4D70">
              <w:rPr>
                <w:color w:val="auto"/>
                <w:sz w:val="20"/>
                <w:szCs w:val="20"/>
              </w:rPr>
              <w:t>44</w:t>
            </w:r>
          </w:p>
        </w:tc>
        <w:tc>
          <w:tcPr>
            <w:tcW w:w="790" w:type="pct"/>
            <w:shd w:val="clear" w:color="auto" w:fill="FF7F7F"/>
          </w:tcPr>
          <w:p w14:paraId="323A43C8" w14:textId="77777777" w:rsidR="00D97E3B" w:rsidRPr="00BC4D70" w:rsidRDefault="00D97E3B" w:rsidP="00873066">
            <w:pPr>
              <w:spacing w:before="60" w:after="60"/>
              <w:rPr>
                <w:color w:val="auto"/>
                <w:sz w:val="20"/>
                <w:szCs w:val="20"/>
              </w:rPr>
            </w:pPr>
            <w:r w:rsidRPr="00BC4D70">
              <w:rPr>
                <w:color w:val="auto"/>
                <w:sz w:val="20"/>
                <w:szCs w:val="20"/>
              </w:rPr>
              <w:t>Not achieved</w:t>
            </w:r>
          </w:p>
        </w:tc>
      </w:tr>
      <w:tr w:rsidR="00D97E3B" w:rsidRPr="006F32BD" w14:paraId="39F00B83" w14:textId="77777777" w:rsidTr="001D093F">
        <w:tc>
          <w:tcPr>
            <w:tcW w:w="596" w:type="pct"/>
            <w:vMerge/>
          </w:tcPr>
          <w:p w14:paraId="42EDAE62" w14:textId="77777777" w:rsidR="00D97E3B" w:rsidRPr="00BC4D70" w:rsidRDefault="00D97E3B" w:rsidP="00873066">
            <w:pPr>
              <w:spacing w:before="60" w:after="60"/>
              <w:rPr>
                <w:color w:val="auto"/>
                <w:sz w:val="20"/>
                <w:szCs w:val="20"/>
              </w:rPr>
            </w:pPr>
          </w:p>
        </w:tc>
        <w:tc>
          <w:tcPr>
            <w:tcW w:w="2074" w:type="pct"/>
            <w:vMerge/>
          </w:tcPr>
          <w:p w14:paraId="3347C5AA" w14:textId="77777777" w:rsidR="00D97E3B" w:rsidRPr="00BC4D70" w:rsidRDefault="00D97E3B" w:rsidP="00873066">
            <w:pPr>
              <w:spacing w:before="60" w:after="60"/>
              <w:rPr>
                <w:color w:val="auto"/>
                <w:sz w:val="20"/>
                <w:szCs w:val="20"/>
              </w:rPr>
            </w:pPr>
          </w:p>
        </w:tc>
        <w:tc>
          <w:tcPr>
            <w:tcW w:w="865" w:type="pct"/>
          </w:tcPr>
          <w:p w14:paraId="6376C75F" w14:textId="77777777" w:rsidR="00D97E3B" w:rsidRPr="00BC4D70" w:rsidRDefault="00D97E3B" w:rsidP="00873066">
            <w:pPr>
              <w:spacing w:before="60" w:after="60"/>
              <w:rPr>
                <w:color w:val="auto"/>
                <w:sz w:val="20"/>
                <w:szCs w:val="20"/>
              </w:rPr>
            </w:pPr>
            <w:r w:rsidRPr="00BC4D70">
              <w:rPr>
                <w:color w:val="auto"/>
                <w:sz w:val="20"/>
                <w:szCs w:val="20"/>
              </w:rPr>
              <w:t>Swaziland: 15</w:t>
            </w:r>
          </w:p>
        </w:tc>
        <w:tc>
          <w:tcPr>
            <w:tcW w:w="675" w:type="pct"/>
          </w:tcPr>
          <w:p w14:paraId="5ECB85B0" w14:textId="77777777" w:rsidR="00D97E3B" w:rsidRPr="00BC4D70" w:rsidRDefault="00D97E3B" w:rsidP="00873066">
            <w:pPr>
              <w:spacing w:before="60" w:after="60"/>
              <w:rPr>
                <w:color w:val="auto"/>
                <w:sz w:val="20"/>
                <w:szCs w:val="20"/>
              </w:rPr>
            </w:pPr>
            <w:r w:rsidRPr="00BC4D70">
              <w:rPr>
                <w:color w:val="auto"/>
                <w:sz w:val="20"/>
                <w:szCs w:val="20"/>
              </w:rPr>
              <w:t>36</w:t>
            </w:r>
          </w:p>
        </w:tc>
        <w:tc>
          <w:tcPr>
            <w:tcW w:w="790" w:type="pct"/>
            <w:shd w:val="clear" w:color="auto" w:fill="FF7F7F"/>
          </w:tcPr>
          <w:p w14:paraId="40D4ACA5" w14:textId="77777777" w:rsidR="00D97E3B" w:rsidRPr="00BC4D70" w:rsidRDefault="00D97E3B" w:rsidP="00873066">
            <w:pPr>
              <w:spacing w:before="60" w:after="60"/>
              <w:rPr>
                <w:color w:val="auto"/>
                <w:sz w:val="20"/>
                <w:szCs w:val="20"/>
              </w:rPr>
            </w:pPr>
            <w:r w:rsidRPr="00BC4D70">
              <w:rPr>
                <w:color w:val="auto"/>
                <w:sz w:val="20"/>
                <w:szCs w:val="20"/>
              </w:rPr>
              <w:t>Not achieved</w:t>
            </w:r>
          </w:p>
        </w:tc>
      </w:tr>
      <w:tr w:rsidR="00D97E3B" w:rsidRPr="006F32BD" w14:paraId="0C6049FA" w14:textId="77777777" w:rsidTr="001D093F">
        <w:tc>
          <w:tcPr>
            <w:tcW w:w="596" w:type="pct"/>
            <w:vMerge/>
          </w:tcPr>
          <w:p w14:paraId="48F664B3" w14:textId="77777777" w:rsidR="00D97E3B" w:rsidRPr="00BC4D70" w:rsidRDefault="00D97E3B" w:rsidP="00873066">
            <w:pPr>
              <w:spacing w:before="60" w:after="60"/>
              <w:rPr>
                <w:color w:val="auto"/>
                <w:sz w:val="20"/>
                <w:szCs w:val="20"/>
              </w:rPr>
            </w:pPr>
          </w:p>
        </w:tc>
        <w:tc>
          <w:tcPr>
            <w:tcW w:w="2074" w:type="pct"/>
            <w:vMerge/>
          </w:tcPr>
          <w:p w14:paraId="2F820523" w14:textId="77777777" w:rsidR="00D97E3B" w:rsidRPr="00BC4D70" w:rsidRDefault="00D97E3B" w:rsidP="00873066">
            <w:pPr>
              <w:spacing w:before="60" w:after="60"/>
              <w:rPr>
                <w:color w:val="auto"/>
                <w:sz w:val="20"/>
                <w:szCs w:val="20"/>
              </w:rPr>
            </w:pPr>
          </w:p>
        </w:tc>
        <w:tc>
          <w:tcPr>
            <w:tcW w:w="865" w:type="pct"/>
          </w:tcPr>
          <w:p w14:paraId="2A0BEEF3" w14:textId="77777777" w:rsidR="00D97E3B" w:rsidRPr="00BC4D70" w:rsidRDefault="00D97E3B" w:rsidP="00873066">
            <w:pPr>
              <w:spacing w:before="60" w:after="60"/>
              <w:rPr>
                <w:color w:val="auto"/>
                <w:sz w:val="20"/>
                <w:szCs w:val="20"/>
              </w:rPr>
            </w:pPr>
            <w:r w:rsidRPr="00BC4D70">
              <w:rPr>
                <w:color w:val="auto"/>
                <w:sz w:val="20"/>
                <w:szCs w:val="20"/>
              </w:rPr>
              <w:t>Uganda: 0</w:t>
            </w:r>
          </w:p>
        </w:tc>
        <w:tc>
          <w:tcPr>
            <w:tcW w:w="675" w:type="pct"/>
          </w:tcPr>
          <w:p w14:paraId="26DAB4F3" w14:textId="77777777" w:rsidR="00D97E3B" w:rsidRPr="00BC4D70" w:rsidRDefault="00D97E3B" w:rsidP="00873066">
            <w:pPr>
              <w:spacing w:before="60" w:after="60"/>
              <w:rPr>
                <w:color w:val="auto"/>
                <w:sz w:val="20"/>
                <w:szCs w:val="20"/>
              </w:rPr>
            </w:pPr>
            <w:r w:rsidRPr="00BC4D70">
              <w:rPr>
                <w:color w:val="auto"/>
                <w:sz w:val="20"/>
                <w:szCs w:val="20"/>
              </w:rPr>
              <w:t>0</w:t>
            </w:r>
          </w:p>
        </w:tc>
        <w:tc>
          <w:tcPr>
            <w:tcW w:w="790" w:type="pct"/>
            <w:shd w:val="clear" w:color="auto" w:fill="92D050"/>
          </w:tcPr>
          <w:p w14:paraId="2F5C8B7F" w14:textId="77777777" w:rsidR="00D97E3B" w:rsidRPr="00BC4D70" w:rsidRDefault="00D97E3B" w:rsidP="00873066">
            <w:pPr>
              <w:spacing w:before="60" w:after="60"/>
              <w:rPr>
                <w:color w:val="auto"/>
                <w:sz w:val="20"/>
                <w:szCs w:val="20"/>
              </w:rPr>
            </w:pPr>
            <w:r w:rsidRPr="00BC4D70">
              <w:rPr>
                <w:color w:val="auto"/>
                <w:sz w:val="20"/>
                <w:szCs w:val="20"/>
              </w:rPr>
              <w:t>Achieved</w:t>
            </w:r>
          </w:p>
        </w:tc>
      </w:tr>
      <w:tr w:rsidR="00D97E3B" w:rsidRPr="006F32BD" w14:paraId="3007313E" w14:textId="77777777" w:rsidTr="001D093F">
        <w:tc>
          <w:tcPr>
            <w:tcW w:w="596" w:type="pct"/>
            <w:vMerge/>
          </w:tcPr>
          <w:p w14:paraId="6502B031" w14:textId="77777777" w:rsidR="00D97E3B" w:rsidRPr="00BC4D70" w:rsidRDefault="00D97E3B" w:rsidP="00873066">
            <w:pPr>
              <w:spacing w:before="60" w:after="60"/>
              <w:rPr>
                <w:color w:val="auto"/>
                <w:sz w:val="20"/>
                <w:szCs w:val="20"/>
              </w:rPr>
            </w:pPr>
          </w:p>
        </w:tc>
        <w:tc>
          <w:tcPr>
            <w:tcW w:w="2074" w:type="pct"/>
            <w:vMerge/>
          </w:tcPr>
          <w:p w14:paraId="332E46BB" w14:textId="77777777" w:rsidR="00D97E3B" w:rsidRPr="00BC4D70" w:rsidRDefault="00D97E3B" w:rsidP="00873066">
            <w:pPr>
              <w:spacing w:before="60" w:after="60"/>
              <w:rPr>
                <w:color w:val="auto"/>
                <w:sz w:val="20"/>
                <w:szCs w:val="20"/>
              </w:rPr>
            </w:pPr>
          </w:p>
        </w:tc>
        <w:tc>
          <w:tcPr>
            <w:tcW w:w="865" w:type="pct"/>
          </w:tcPr>
          <w:p w14:paraId="115C423D" w14:textId="77777777" w:rsidR="00D97E3B" w:rsidRPr="00BC4D70" w:rsidRDefault="00D97E3B" w:rsidP="00873066">
            <w:pPr>
              <w:spacing w:before="60" w:after="60"/>
              <w:rPr>
                <w:color w:val="auto"/>
                <w:sz w:val="20"/>
                <w:szCs w:val="20"/>
              </w:rPr>
            </w:pPr>
            <w:r w:rsidRPr="00BC4D70">
              <w:rPr>
                <w:color w:val="auto"/>
                <w:sz w:val="20"/>
                <w:szCs w:val="20"/>
              </w:rPr>
              <w:t>DRC: no target</w:t>
            </w:r>
          </w:p>
        </w:tc>
        <w:tc>
          <w:tcPr>
            <w:tcW w:w="675" w:type="pct"/>
          </w:tcPr>
          <w:p w14:paraId="1B65CA85" w14:textId="77777777" w:rsidR="00D97E3B" w:rsidRPr="00BC4D70" w:rsidRDefault="00D97E3B" w:rsidP="00873066">
            <w:pPr>
              <w:spacing w:before="60" w:after="60"/>
              <w:rPr>
                <w:color w:val="auto"/>
                <w:sz w:val="20"/>
                <w:szCs w:val="20"/>
              </w:rPr>
            </w:pPr>
            <w:r w:rsidRPr="00BC4D70">
              <w:rPr>
                <w:color w:val="auto"/>
                <w:sz w:val="20"/>
                <w:szCs w:val="20"/>
              </w:rPr>
              <w:t>45</w:t>
            </w:r>
          </w:p>
        </w:tc>
        <w:tc>
          <w:tcPr>
            <w:tcW w:w="790" w:type="pct"/>
          </w:tcPr>
          <w:p w14:paraId="2B17182D" w14:textId="77777777" w:rsidR="00D97E3B" w:rsidRPr="00BC4D70" w:rsidRDefault="00D97E3B" w:rsidP="00873066">
            <w:pPr>
              <w:spacing w:before="60" w:after="60"/>
              <w:rPr>
                <w:color w:val="auto"/>
                <w:sz w:val="20"/>
                <w:szCs w:val="20"/>
              </w:rPr>
            </w:pPr>
            <w:r w:rsidRPr="00BC4D70">
              <w:rPr>
                <w:color w:val="auto"/>
                <w:sz w:val="20"/>
                <w:szCs w:val="20"/>
              </w:rPr>
              <w:t>Not defined</w:t>
            </w:r>
          </w:p>
        </w:tc>
      </w:tr>
      <w:tr w:rsidR="00D97E3B" w:rsidRPr="006F32BD" w14:paraId="2626F426" w14:textId="77777777" w:rsidTr="001D093F">
        <w:tc>
          <w:tcPr>
            <w:tcW w:w="596" w:type="pct"/>
            <w:vMerge/>
          </w:tcPr>
          <w:p w14:paraId="1EF8E886" w14:textId="77777777" w:rsidR="00D97E3B" w:rsidRPr="00BC4D70" w:rsidRDefault="00D97E3B" w:rsidP="00873066">
            <w:pPr>
              <w:spacing w:before="60" w:after="60"/>
              <w:rPr>
                <w:color w:val="auto"/>
                <w:sz w:val="20"/>
                <w:szCs w:val="20"/>
              </w:rPr>
            </w:pPr>
          </w:p>
        </w:tc>
        <w:tc>
          <w:tcPr>
            <w:tcW w:w="2074" w:type="pct"/>
            <w:vMerge/>
          </w:tcPr>
          <w:p w14:paraId="4DFD1DB8" w14:textId="77777777" w:rsidR="00D97E3B" w:rsidRPr="00BC4D70" w:rsidRDefault="00D97E3B" w:rsidP="00873066">
            <w:pPr>
              <w:spacing w:before="60" w:after="60"/>
              <w:rPr>
                <w:color w:val="auto"/>
                <w:sz w:val="20"/>
                <w:szCs w:val="20"/>
              </w:rPr>
            </w:pPr>
          </w:p>
        </w:tc>
        <w:tc>
          <w:tcPr>
            <w:tcW w:w="865" w:type="pct"/>
          </w:tcPr>
          <w:p w14:paraId="0269E8CD" w14:textId="77777777" w:rsidR="00D97E3B" w:rsidRPr="00BC4D70" w:rsidRDefault="00D97E3B" w:rsidP="00873066">
            <w:pPr>
              <w:spacing w:before="60" w:after="60"/>
              <w:rPr>
                <w:color w:val="auto"/>
                <w:sz w:val="20"/>
                <w:szCs w:val="20"/>
              </w:rPr>
            </w:pPr>
            <w:r w:rsidRPr="00BC4D70">
              <w:rPr>
                <w:color w:val="auto"/>
                <w:sz w:val="20"/>
                <w:szCs w:val="20"/>
              </w:rPr>
              <w:t>Zimbabwe: no target</w:t>
            </w:r>
          </w:p>
        </w:tc>
        <w:tc>
          <w:tcPr>
            <w:tcW w:w="675" w:type="pct"/>
          </w:tcPr>
          <w:p w14:paraId="3414A27E" w14:textId="77777777" w:rsidR="00D97E3B" w:rsidRPr="00BC4D70" w:rsidRDefault="00D97E3B" w:rsidP="00873066">
            <w:pPr>
              <w:spacing w:before="60" w:after="60"/>
              <w:rPr>
                <w:color w:val="auto"/>
                <w:sz w:val="20"/>
                <w:szCs w:val="20"/>
              </w:rPr>
            </w:pPr>
            <w:r w:rsidRPr="00BC4D70">
              <w:rPr>
                <w:color w:val="auto"/>
                <w:sz w:val="20"/>
                <w:szCs w:val="20"/>
              </w:rPr>
              <w:t>46</w:t>
            </w:r>
          </w:p>
        </w:tc>
        <w:tc>
          <w:tcPr>
            <w:tcW w:w="790" w:type="pct"/>
          </w:tcPr>
          <w:p w14:paraId="16AA8116" w14:textId="77777777" w:rsidR="00D97E3B" w:rsidRPr="00BC4D70" w:rsidRDefault="00D97E3B" w:rsidP="00873066">
            <w:pPr>
              <w:spacing w:before="60" w:after="60"/>
              <w:rPr>
                <w:color w:val="auto"/>
                <w:sz w:val="20"/>
                <w:szCs w:val="20"/>
              </w:rPr>
            </w:pPr>
            <w:r w:rsidRPr="00BC4D70">
              <w:rPr>
                <w:color w:val="auto"/>
                <w:sz w:val="20"/>
                <w:szCs w:val="20"/>
              </w:rPr>
              <w:t>Not defined</w:t>
            </w:r>
          </w:p>
        </w:tc>
      </w:tr>
      <w:tr w:rsidR="00D97E3B" w:rsidRPr="006F32BD" w14:paraId="6908C688" w14:textId="77777777" w:rsidTr="001D093F">
        <w:tc>
          <w:tcPr>
            <w:tcW w:w="596" w:type="pct"/>
            <w:shd w:val="clear" w:color="auto" w:fill="auto"/>
          </w:tcPr>
          <w:p w14:paraId="3F711066"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O.2.4</w:t>
            </w:r>
          </w:p>
        </w:tc>
        <w:tc>
          <w:tcPr>
            <w:tcW w:w="2074" w:type="pct"/>
            <w:shd w:val="clear" w:color="auto" w:fill="auto"/>
          </w:tcPr>
          <w:p w14:paraId="6F8EF48A"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 Lab based VL tested ART patients adherent to treatment 1 year after initiation</w:t>
            </w:r>
          </w:p>
        </w:tc>
        <w:tc>
          <w:tcPr>
            <w:tcW w:w="865" w:type="pct"/>
            <w:shd w:val="clear" w:color="auto" w:fill="auto"/>
          </w:tcPr>
          <w:p w14:paraId="5A484A04"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&gt;85%</w:t>
            </w:r>
          </w:p>
        </w:tc>
        <w:tc>
          <w:tcPr>
            <w:tcW w:w="1465" w:type="pct"/>
            <w:gridSpan w:val="2"/>
            <w:shd w:val="clear" w:color="auto" w:fill="auto"/>
          </w:tcPr>
          <w:p w14:paraId="224C6D45"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Dropped after 2015 annual report</w:t>
            </w:r>
          </w:p>
        </w:tc>
      </w:tr>
      <w:tr w:rsidR="00D97E3B" w:rsidRPr="006F32BD" w14:paraId="76E45401" w14:textId="77777777" w:rsidTr="001D093F">
        <w:tc>
          <w:tcPr>
            <w:tcW w:w="596" w:type="pct"/>
            <w:shd w:val="clear" w:color="auto" w:fill="BFBFBF" w:themeFill="background1" w:themeFillShade="BF"/>
          </w:tcPr>
          <w:p w14:paraId="10B540C7" w14:textId="77777777" w:rsidR="00D97E3B" w:rsidRPr="00BC4D70" w:rsidRDefault="00D97E3B" w:rsidP="00873066">
            <w:pPr>
              <w:spacing w:before="60" w:after="60"/>
              <w:rPr>
                <w:b/>
                <w:color w:val="auto"/>
                <w:sz w:val="20"/>
                <w:szCs w:val="20"/>
              </w:rPr>
            </w:pPr>
            <w:r w:rsidRPr="00BC4D70">
              <w:rPr>
                <w:b/>
                <w:color w:val="auto"/>
                <w:sz w:val="20"/>
                <w:szCs w:val="20"/>
              </w:rPr>
              <w:t>Output 3</w:t>
            </w:r>
          </w:p>
        </w:tc>
        <w:tc>
          <w:tcPr>
            <w:tcW w:w="4404" w:type="pct"/>
            <w:gridSpan w:val="4"/>
            <w:shd w:val="clear" w:color="auto" w:fill="BFBFBF" w:themeFill="background1" w:themeFillShade="BF"/>
          </w:tcPr>
          <w:p w14:paraId="1482BEF4" w14:textId="0521F307" w:rsidR="00D97E3B" w:rsidRPr="00BC4D70" w:rsidRDefault="00D97E3B" w:rsidP="00873066">
            <w:pPr>
              <w:spacing w:before="60" w:after="60"/>
              <w:rPr>
                <w:b/>
                <w:color w:val="auto"/>
                <w:sz w:val="20"/>
                <w:szCs w:val="20"/>
              </w:rPr>
            </w:pPr>
            <w:r w:rsidRPr="00BC4D70">
              <w:rPr>
                <w:b/>
                <w:color w:val="auto"/>
                <w:sz w:val="20"/>
                <w:szCs w:val="20"/>
              </w:rPr>
              <w:t xml:space="preserve">Use of peripheral health facility </w:t>
            </w:r>
            <w:r w:rsidR="007B10C8">
              <w:rPr>
                <w:b/>
                <w:color w:val="auto"/>
                <w:sz w:val="20"/>
                <w:szCs w:val="20"/>
              </w:rPr>
              <w:t>VL</w:t>
            </w:r>
            <w:r w:rsidRPr="00BC4D70">
              <w:rPr>
                <w:b/>
                <w:color w:val="auto"/>
                <w:sz w:val="20"/>
                <w:szCs w:val="20"/>
              </w:rPr>
              <w:t xml:space="preserve"> testing (PoC/simplified) in resource-constrained settings to generate evidence-based recommendations</w:t>
            </w:r>
          </w:p>
        </w:tc>
      </w:tr>
      <w:tr w:rsidR="00D97E3B" w:rsidRPr="006F32BD" w14:paraId="6EDF7A93" w14:textId="77777777" w:rsidTr="001D093F">
        <w:tc>
          <w:tcPr>
            <w:tcW w:w="596" w:type="pct"/>
            <w:shd w:val="clear" w:color="auto" w:fill="auto"/>
          </w:tcPr>
          <w:p w14:paraId="3077A180"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 xml:space="preserve">O.3.1 </w:t>
            </w:r>
          </w:p>
        </w:tc>
        <w:tc>
          <w:tcPr>
            <w:tcW w:w="2074" w:type="pct"/>
            <w:shd w:val="clear" w:color="auto" w:fill="auto"/>
          </w:tcPr>
          <w:p w14:paraId="787B7E25" w14:textId="02750E3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 xml:space="preserve"># newly-initiated ART patients peripheral facility </w:t>
            </w:r>
            <w:r w:rsidR="007B10C8">
              <w:rPr>
                <w:color w:val="A6A6A6" w:themeColor="background1" w:themeShade="A6"/>
                <w:sz w:val="20"/>
                <w:szCs w:val="20"/>
              </w:rPr>
              <w:t>VL</w:t>
            </w:r>
            <w:r w:rsidRPr="00BC4D70">
              <w:rPr>
                <w:color w:val="A6A6A6" w:themeColor="background1" w:themeShade="A6"/>
                <w:sz w:val="20"/>
                <w:szCs w:val="20"/>
              </w:rPr>
              <w:t xml:space="preserve"> tested for early adherence</w:t>
            </w:r>
          </w:p>
        </w:tc>
        <w:tc>
          <w:tcPr>
            <w:tcW w:w="865" w:type="pct"/>
            <w:shd w:val="clear" w:color="auto" w:fill="auto"/>
          </w:tcPr>
          <w:p w14:paraId="34A338B2"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25,000</w:t>
            </w:r>
          </w:p>
        </w:tc>
        <w:tc>
          <w:tcPr>
            <w:tcW w:w="1465" w:type="pct"/>
            <w:gridSpan w:val="2"/>
            <w:shd w:val="clear" w:color="auto" w:fill="auto"/>
          </w:tcPr>
          <w:p w14:paraId="74C2C3D3"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Dropped after 2015 annual report</w:t>
            </w:r>
          </w:p>
        </w:tc>
      </w:tr>
      <w:tr w:rsidR="00D97E3B" w:rsidRPr="006F32BD" w14:paraId="345B5ACC" w14:textId="77777777" w:rsidTr="001D093F">
        <w:tc>
          <w:tcPr>
            <w:tcW w:w="596" w:type="pct"/>
            <w:shd w:val="clear" w:color="auto" w:fill="auto"/>
          </w:tcPr>
          <w:p w14:paraId="0E6E3C3C"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O.3.2</w:t>
            </w:r>
          </w:p>
        </w:tc>
        <w:tc>
          <w:tcPr>
            <w:tcW w:w="2074" w:type="pct"/>
            <w:shd w:val="clear" w:color="auto" w:fill="auto"/>
          </w:tcPr>
          <w:p w14:paraId="360993C1" w14:textId="5FAF1012"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 xml:space="preserve"># stable ART patients tested by routine peripheral facility </w:t>
            </w:r>
            <w:r w:rsidR="007B10C8">
              <w:rPr>
                <w:color w:val="A6A6A6" w:themeColor="background1" w:themeShade="A6"/>
                <w:sz w:val="20"/>
                <w:szCs w:val="20"/>
              </w:rPr>
              <w:t>VL</w:t>
            </w:r>
            <w:r w:rsidRPr="00BC4D70">
              <w:rPr>
                <w:color w:val="A6A6A6" w:themeColor="background1" w:themeShade="A6"/>
                <w:sz w:val="20"/>
                <w:szCs w:val="20"/>
              </w:rPr>
              <w:t xml:space="preserve"> follow-up</w:t>
            </w:r>
          </w:p>
        </w:tc>
        <w:tc>
          <w:tcPr>
            <w:tcW w:w="865" w:type="pct"/>
            <w:shd w:val="clear" w:color="auto" w:fill="auto"/>
          </w:tcPr>
          <w:p w14:paraId="2876114E"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50,000</w:t>
            </w:r>
          </w:p>
        </w:tc>
        <w:tc>
          <w:tcPr>
            <w:tcW w:w="1465" w:type="pct"/>
            <w:gridSpan w:val="2"/>
            <w:shd w:val="clear" w:color="auto" w:fill="auto"/>
          </w:tcPr>
          <w:p w14:paraId="5482AE08" w14:textId="77777777" w:rsidR="00D97E3B" w:rsidRPr="00BC4D70" w:rsidRDefault="00D97E3B" w:rsidP="00873066">
            <w:pPr>
              <w:pStyle w:val="CEPATabletext"/>
              <w:rPr>
                <w:rFonts w:eastAsiaTheme="minorEastAsia"/>
                <w:color w:val="A6A6A6" w:themeColor="background1" w:themeShade="A6"/>
                <w:sz w:val="20"/>
                <w:szCs w:val="20"/>
              </w:rPr>
            </w:pPr>
            <w:r w:rsidRPr="00BC4D70">
              <w:rPr>
                <w:rFonts w:eastAsiaTheme="minorEastAsia"/>
                <w:color w:val="A6A6A6" w:themeColor="background1" w:themeShade="A6"/>
                <w:sz w:val="20"/>
                <w:szCs w:val="20"/>
              </w:rPr>
              <w:t>Dropped after 2015 annual report</w:t>
            </w:r>
          </w:p>
        </w:tc>
      </w:tr>
      <w:tr w:rsidR="00D97E3B" w:rsidRPr="006F32BD" w14:paraId="7FE8E8CB" w14:textId="77777777" w:rsidTr="001D093F">
        <w:tc>
          <w:tcPr>
            <w:tcW w:w="596" w:type="pct"/>
            <w:shd w:val="clear" w:color="auto" w:fill="auto"/>
          </w:tcPr>
          <w:p w14:paraId="2FB7218C"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O.3.3</w:t>
            </w:r>
          </w:p>
        </w:tc>
        <w:tc>
          <w:tcPr>
            <w:tcW w:w="2074" w:type="pct"/>
            <w:shd w:val="clear" w:color="auto" w:fill="auto"/>
          </w:tcPr>
          <w:p w14:paraId="1F8EBEBE"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 peripheral facility VL-tested ART patients adherent to treatment 1 year after initiation</w:t>
            </w:r>
          </w:p>
        </w:tc>
        <w:tc>
          <w:tcPr>
            <w:tcW w:w="865" w:type="pct"/>
            <w:shd w:val="clear" w:color="auto" w:fill="auto"/>
          </w:tcPr>
          <w:p w14:paraId="4238526B"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&gt;85%</w:t>
            </w:r>
          </w:p>
        </w:tc>
        <w:tc>
          <w:tcPr>
            <w:tcW w:w="1465" w:type="pct"/>
            <w:gridSpan w:val="2"/>
            <w:shd w:val="clear" w:color="auto" w:fill="auto"/>
          </w:tcPr>
          <w:p w14:paraId="05BEB315"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Dropped after 2015 annual report</w:t>
            </w:r>
          </w:p>
        </w:tc>
      </w:tr>
      <w:tr w:rsidR="00D97E3B" w:rsidRPr="006F32BD" w14:paraId="3DA9CB64" w14:textId="77777777" w:rsidTr="001D093F">
        <w:tc>
          <w:tcPr>
            <w:tcW w:w="596" w:type="pct"/>
            <w:shd w:val="clear" w:color="auto" w:fill="C6C6C6"/>
          </w:tcPr>
          <w:p w14:paraId="2537AE7B" w14:textId="77777777" w:rsidR="00D97E3B" w:rsidRPr="00BC4D70" w:rsidRDefault="00D97E3B" w:rsidP="00873066">
            <w:pPr>
              <w:spacing w:before="60" w:after="60"/>
              <w:rPr>
                <w:rFonts w:eastAsia="SimSun"/>
                <w:color w:val="auto"/>
                <w:sz w:val="20"/>
                <w:szCs w:val="20"/>
              </w:rPr>
            </w:pPr>
            <w:r w:rsidRPr="00BC4D70">
              <w:rPr>
                <w:rFonts w:eastAsia="SimSun"/>
                <w:b/>
                <w:color w:val="auto"/>
                <w:sz w:val="20"/>
                <w:szCs w:val="20"/>
              </w:rPr>
              <w:t>Output 4</w:t>
            </w:r>
          </w:p>
        </w:tc>
        <w:tc>
          <w:tcPr>
            <w:tcW w:w="4404" w:type="pct"/>
            <w:gridSpan w:val="4"/>
            <w:shd w:val="clear" w:color="auto" w:fill="C6C6C6"/>
          </w:tcPr>
          <w:p w14:paraId="642D6C8A" w14:textId="77777777" w:rsidR="00D97E3B" w:rsidRPr="00BC4D70" w:rsidRDefault="00D97E3B" w:rsidP="00873066">
            <w:pPr>
              <w:spacing w:before="60" w:after="60"/>
              <w:rPr>
                <w:color w:val="auto"/>
                <w:sz w:val="20"/>
                <w:szCs w:val="20"/>
              </w:rPr>
            </w:pPr>
            <w:r w:rsidRPr="00BC4D70">
              <w:rPr>
                <w:rFonts w:eastAsia="Calibri"/>
                <w:b/>
                <w:color w:val="auto"/>
                <w:sz w:val="20"/>
                <w:szCs w:val="20"/>
              </w:rPr>
              <w:t>Use of EID testing platforms in resource-constrained settings to generate evidence-based recommendations</w:t>
            </w:r>
          </w:p>
        </w:tc>
      </w:tr>
      <w:tr w:rsidR="00D97E3B" w:rsidRPr="006F32BD" w14:paraId="7604CADA" w14:textId="77777777" w:rsidTr="001D093F">
        <w:tc>
          <w:tcPr>
            <w:tcW w:w="596" w:type="pct"/>
            <w:vMerge w:val="restart"/>
          </w:tcPr>
          <w:p w14:paraId="35EC8C54" w14:textId="77777777" w:rsidR="00D97E3B" w:rsidRPr="00BC4D70" w:rsidRDefault="00D97E3B" w:rsidP="00873066">
            <w:pPr>
              <w:spacing w:before="60" w:after="60"/>
              <w:rPr>
                <w:color w:val="auto"/>
                <w:sz w:val="20"/>
                <w:szCs w:val="20"/>
              </w:rPr>
            </w:pPr>
            <w:r w:rsidRPr="00BC4D70">
              <w:rPr>
                <w:rFonts w:eastAsia="SimSun"/>
                <w:color w:val="auto"/>
                <w:sz w:val="20"/>
                <w:szCs w:val="20"/>
              </w:rPr>
              <w:t>O.4.1.</w:t>
            </w:r>
          </w:p>
        </w:tc>
        <w:tc>
          <w:tcPr>
            <w:tcW w:w="2074" w:type="pct"/>
            <w:vMerge w:val="restart"/>
          </w:tcPr>
          <w:p w14:paraId="4ED0338E" w14:textId="77777777" w:rsidR="00D97E3B" w:rsidRPr="00BC4D70" w:rsidRDefault="00D97E3B" w:rsidP="00873066">
            <w:pPr>
              <w:spacing w:before="60" w:after="60"/>
              <w:rPr>
                <w:color w:val="auto"/>
                <w:sz w:val="20"/>
                <w:szCs w:val="20"/>
              </w:rPr>
            </w:pPr>
            <w:r w:rsidRPr="00BC4D70">
              <w:rPr>
                <w:rFonts w:eastAsia="Calibri"/>
                <w:color w:val="auto"/>
                <w:sz w:val="20"/>
                <w:szCs w:val="20"/>
              </w:rPr>
              <w:t>Percentage of HIV-exposed infants tested between 6 to 12 weeks of age</w:t>
            </w:r>
            <w:r w:rsidRPr="00BC4D70">
              <w:rPr>
                <w:rFonts w:eastAsia="Calibri"/>
                <w:color w:val="auto"/>
                <w:sz w:val="20"/>
                <w:szCs w:val="20"/>
                <w:vertAlign w:val="superscript"/>
              </w:rPr>
              <w:footnoteReference w:id="108"/>
            </w:r>
          </w:p>
        </w:tc>
        <w:tc>
          <w:tcPr>
            <w:tcW w:w="865" w:type="pct"/>
          </w:tcPr>
          <w:p w14:paraId="24569B8A" w14:textId="77777777" w:rsidR="00D97E3B" w:rsidRPr="00BC4D70" w:rsidRDefault="00D97E3B" w:rsidP="00873066">
            <w:pPr>
              <w:spacing w:before="60" w:after="60"/>
              <w:rPr>
                <w:color w:val="auto"/>
                <w:sz w:val="20"/>
                <w:szCs w:val="20"/>
              </w:rPr>
            </w:pPr>
            <w:r w:rsidRPr="00BC4D70">
              <w:rPr>
                <w:color w:val="auto"/>
                <w:sz w:val="20"/>
                <w:szCs w:val="20"/>
              </w:rPr>
              <w:t>DRC: 90%</w:t>
            </w:r>
          </w:p>
        </w:tc>
        <w:tc>
          <w:tcPr>
            <w:tcW w:w="675" w:type="pct"/>
          </w:tcPr>
          <w:p w14:paraId="2999C584" w14:textId="77777777" w:rsidR="00D97E3B" w:rsidRPr="00BC4D70" w:rsidRDefault="00D97E3B" w:rsidP="00873066">
            <w:pPr>
              <w:spacing w:before="60" w:after="60"/>
              <w:rPr>
                <w:color w:val="auto"/>
                <w:sz w:val="20"/>
                <w:szCs w:val="20"/>
              </w:rPr>
            </w:pPr>
            <w:r w:rsidRPr="00BC4D70">
              <w:rPr>
                <w:color w:val="auto"/>
                <w:sz w:val="20"/>
                <w:szCs w:val="20"/>
              </w:rPr>
              <w:t>95%</w:t>
            </w:r>
          </w:p>
        </w:tc>
        <w:tc>
          <w:tcPr>
            <w:tcW w:w="790" w:type="pct"/>
            <w:shd w:val="clear" w:color="auto" w:fill="92D050"/>
          </w:tcPr>
          <w:p w14:paraId="0B3B1E44" w14:textId="77777777" w:rsidR="00D97E3B" w:rsidRPr="00BC4D70" w:rsidRDefault="00D97E3B" w:rsidP="00873066">
            <w:pPr>
              <w:spacing w:before="60" w:after="60"/>
              <w:rPr>
                <w:color w:val="auto"/>
                <w:sz w:val="20"/>
                <w:szCs w:val="20"/>
              </w:rPr>
            </w:pPr>
            <w:r w:rsidRPr="00BC4D70">
              <w:rPr>
                <w:color w:val="auto"/>
                <w:sz w:val="20"/>
                <w:szCs w:val="20"/>
              </w:rPr>
              <w:t>Achieved</w:t>
            </w:r>
          </w:p>
        </w:tc>
      </w:tr>
      <w:tr w:rsidR="00D97E3B" w:rsidRPr="006F32BD" w14:paraId="22D1BF80" w14:textId="77777777" w:rsidTr="001D093F">
        <w:tc>
          <w:tcPr>
            <w:tcW w:w="596" w:type="pct"/>
            <w:vMerge/>
          </w:tcPr>
          <w:p w14:paraId="30E6F738" w14:textId="77777777" w:rsidR="00D97E3B" w:rsidRPr="00BC4D70" w:rsidRDefault="00D97E3B" w:rsidP="00873066">
            <w:pPr>
              <w:spacing w:before="60" w:after="60"/>
              <w:rPr>
                <w:color w:val="auto"/>
                <w:sz w:val="20"/>
                <w:szCs w:val="20"/>
              </w:rPr>
            </w:pPr>
          </w:p>
        </w:tc>
        <w:tc>
          <w:tcPr>
            <w:tcW w:w="2074" w:type="pct"/>
            <w:vMerge/>
          </w:tcPr>
          <w:p w14:paraId="27A6FA15" w14:textId="77777777" w:rsidR="00D97E3B" w:rsidRPr="00BC4D70" w:rsidRDefault="00D97E3B" w:rsidP="00873066">
            <w:pPr>
              <w:spacing w:before="60" w:after="60"/>
              <w:rPr>
                <w:color w:val="auto"/>
                <w:sz w:val="20"/>
                <w:szCs w:val="20"/>
              </w:rPr>
            </w:pPr>
          </w:p>
        </w:tc>
        <w:tc>
          <w:tcPr>
            <w:tcW w:w="865" w:type="pct"/>
          </w:tcPr>
          <w:p w14:paraId="4BD4D032" w14:textId="77777777" w:rsidR="00D97E3B" w:rsidRPr="00BC4D70" w:rsidRDefault="00D97E3B" w:rsidP="00873066">
            <w:pPr>
              <w:spacing w:before="60" w:after="60"/>
              <w:rPr>
                <w:color w:val="auto"/>
                <w:sz w:val="20"/>
                <w:szCs w:val="20"/>
              </w:rPr>
            </w:pPr>
            <w:r w:rsidRPr="00BC4D70">
              <w:rPr>
                <w:color w:val="auto"/>
                <w:sz w:val="20"/>
                <w:szCs w:val="20"/>
              </w:rPr>
              <w:t>Kenya: 100%</w:t>
            </w:r>
          </w:p>
        </w:tc>
        <w:tc>
          <w:tcPr>
            <w:tcW w:w="675" w:type="pct"/>
          </w:tcPr>
          <w:p w14:paraId="3E43DC77" w14:textId="77777777" w:rsidR="00D97E3B" w:rsidRPr="00BC4D70" w:rsidRDefault="00D97E3B" w:rsidP="00873066">
            <w:pPr>
              <w:spacing w:before="60" w:after="60"/>
              <w:rPr>
                <w:color w:val="auto"/>
                <w:sz w:val="20"/>
                <w:szCs w:val="20"/>
              </w:rPr>
            </w:pPr>
            <w:r w:rsidRPr="00BC4D70">
              <w:rPr>
                <w:color w:val="auto"/>
                <w:sz w:val="20"/>
                <w:szCs w:val="20"/>
              </w:rPr>
              <w:t>65%</w:t>
            </w:r>
          </w:p>
        </w:tc>
        <w:tc>
          <w:tcPr>
            <w:tcW w:w="790" w:type="pct"/>
            <w:shd w:val="clear" w:color="auto" w:fill="FF7F7F"/>
          </w:tcPr>
          <w:p w14:paraId="4C6D93F3" w14:textId="77777777" w:rsidR="00D97E3B" w:rsidRPr="00BC4D70" w:rsidRDefault="00D97E3B" w:rsidP="00873066">
            <w:pPr>
              <w:spacing w:before="60" w:after="60"/>
              <w:rPr>
                <w:color w:val="auto"/>
                <w:sz w:val="20"/>
                <w:szCs w:val="20"/>
              </w:rPr>
            </w:pPr>
            <w:r w:rsidRPr="00BC4D70">
              <w:rPr>
                <w:color w:val="auto"/>
                <w:sz w:val="20"/>
                <w:szCs w:val="20"/>
              </w:rPr>
              <w:t>Not achieved</w:t>
            </w:r>
          </w:p>
        </w:tc>
      </w:tr>
      <w:tr w:rsidR="00D97E3B" w:rsidRPr="006F32BD" w14:paraId="01F74831" w14:textId="77777777" w:rsidTr="001D093F">
        <w:tc>
          <w:tcPr>
            <w:tcW w:w="596" w:type="pct"/>
            <w:vMerge/>
          </w:tcPr>
          <w:p w14:paraId="63AC4C64" w14:textId="77777777" w:rsidR="00D97E3B" w:rsidRPr="00BC4D70" w:rsidRDefault="00D97E3B" w:rsidP="00873066">
            <w:pPr>
              <w:spacing w:before="60" w:after="60"/>
              <w:rPr>
                <w:rFonts w:eastAsia="SimSun"/>
                <w:color w:val="auto"/>
                <w:sz w:val="20"/>
                <w:szCs w:val="20"/>
              </w:rPr>
            </w:pPr>
          </w:p>
        </w:tc>
        <w:tc>
          <w:tcPr>
            <w:tcW w:w="2074" w:type="pct"/>
            <w:vMerge/>
          </w:tcPr>
          <w:p w14:paraId="63FB8FB0" w14:textId="77777777" w:rsidR="00D97E3B" w:rsidRPr="00BC4D70" w:rsidRDefault="00D97E3B" w:rsidP="00873066">
            <w:pPr>
              <w:spacing w:before="60" w:after="60"/>
              <w:rPr>
                <w:rFonts w:eastAsia="Calibri"/>
                <w:color w:val="auto"/>
                <w:sz w:val="20"/>
                <w:szCs w:val="20"/>
              </w:rPr>
            </w:pPr>
          </w:p>
        </w:tc>
        <w:tc>
          <w:tcPr>
            <w:tcW w:w="865" w:type="pct"/>
          </w:tcPr>
          <w:p w14:paraId="44C43A57" w14:textId="77777777" w:rsidR="00D97E3B" w:rsidRPr="00BC4D70" w:rsidRDefault="00D97E3B" w:rsidP="00873066">
            <w:pPr>
              <w:spacing w:before="60" w:after="60"/>
              <w:rPr>
                <w:color w:val="auto"/>
                <w:sz w:val="20"/>
                <w:szCs w:val="20"/>
              </w:rPr>
            </w:pPr>
            <w:r w:rsidRPr="00BC4D70">
              <w:rPr>
                <w:color w:val="auto"/>
                <w:sz w:val="20"/>
                <w:szCs w:val="20"/>
              </w:rPr>
              <w:t>Malawi: 60%</w:t>
            </w:r>
          </w:p>
        </w:tc>
        <w:tc>
          <w:tcPr>
            <w:tcW w:w="675" w:type="pct"/>
          </w:tcPr>
          <w:p w14:paraId="36FEE88F" w14:textId="77777777" w:rsidR="00D97E3B" w:rsidRPr="00BC4D70" w:rsidRDefault="00D97E3B" w:rsidP="00873066">
            <w:pPr>
              <w:spacing w:before="60" w:after="60"/>
              <w:rPr>
                <w:color w:val="auto"/>
                <w:sz w:val="20"/>
                <w:szCs w:val="20"/>
              </w:rPr>
            </w:pPr>
            <w:r w:rsidRPr="00BC4D70">
              <w:rPr>
                <w:color w:val="auto"/>
                <w:sz w:val="20"/>
                <w:szCs w:val="20"/>
              </w:rPr>
              <w:t>64%</w:t>
            </w:r>
          </w:p>
        </w:tc>
        <w:tc>
          <w:tcPr>
            <w:tcW w:w="790" w:type="pct"/>
            <w:shd w:val="clear" w:color="auto" w:fill="92D050"/>
          </w:tcPr>
          <w:p w14:paraId="6C2C7E54" w14:textId="77777777" w:rsidR="00D97E3B" w:rsidRPr="00BC4D70" w:rsidRDefault="00D97E3B" w:rsidP="00873066">
            <w:pPr>
              <w:spacing w:before="60" w:after="60"/>
              <w:rPr>
                <w:color w:val="auto"/>
                <w:sz w:val="20"/>
                <w:szCs w:val="20"/>
              </w:rPr>
            </w:pPr>
            <w:r w:rsidRPr="00BC4D70">
              <w:rPr>
                <w:color w:val="auto"/>
                <w:sz w:val="20"/>
                <w:szCs w:val="20"/>
              </w:rPr>
              <w:t>Achieved</w:t>
            </w:r>
          </w:p>
        </w:tc>
      </w:tr>
      <w:tr w:rsidR="00D97E3B" w:rsidRPr="006F32BD" w14:paraId="4E584199" w14:textId="77777777" w:rsidTr="001D093F">
        <w:tc>
          <w:tcPr>
            <w:tcW w:w="596" w:type="pct"/>
            <w:shd w:val="clear" w:color="auto" w:fill="auto"/>
          </w:tcPr>
          <w:p w14:paraId="06993408"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O.4.2</w:t>
            </w:r>
          </w:p>
        </w:tc>
        <w:tc>
          <w:tcPr>
            <w:tcW w:w="2074" w:type="pct"/>
            <w:shd w:val="clear" w:color="auto" w:fill="auto"/>
          </w:tcPr>
          <w:p w14:paraId="3E6DBB2D" w14:textId="77777777" w:rsidR="00D97E3B" w:rsidRPr="00BC4D70" w:rsidRDefault="00D97E3B" w:rsidP="00873066">
            <w:pPr>
              <w:spacing w:before="60" w:after="60"/>
              <w:rPr>
                <w:rFonts w:eastAsia="Calibri"/>
                <w:color w:val="A6A6A6" w:themeColor="background1" w:themeShade="A6"/>
                <w:sz w:val="20"/>
                <w:szCs w:val="20"/>
              </w:rPr>
            </w:pPr>
            <w:r w:rsidRPr="00BC4D70">
              <w:rPr>
                <w:rFonts w:eastAsia="Calibri"/>
                <w:color w:val="A6A6A6" w:themeColor="background1" w:themeShade="A6"/>
                <w:sz w:val="20"/>
                <w:szCs w:val="20"/>
              </w:rPr>
              <w:t>Number and percentage of children tested positive with PoC technology receiving result within one week</w:t>
            </w:r>
          </w:p>
        </w:tc>
        <w:tc>
          <w:tcPr>
            <w:tcW w:w="865" w:type="pct"/>
            <w:shd w:val="clear" w:color="auto" w:fill="auto"/>
          </w:tcPr>
          <w:p w14:paraId="12B27486"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75%</w:t>
            </w:r>
          </w:p>
        </w:tc>
        <w:tc>
          <w:tcPr>
            <w:tcW w:w="1465" w:type="pct"/>
            <w:gridSpan w:val="2"/>
            <w:shd w:val="clear" w:color="auto" w:fill="auto"/>
          </w:tcPr>
          <w:p w14:paraId="632CF24C"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Dropped after 2015 annual report</w:t>
            </w:r>
          </w:p>
        </w:tc>
      </w:tr>
      <w:tr w:rsidR="00D97E3B" w:rsidRPr="006F32BD" w14:paraId="238A2F9D" w14:textId="77777777" w:rsidTr="001D093F">
        <w:tc>
          <w:tcPr>
            <w:tcW w:w="596" w:type="pct"/>
            <w:shd w:val="clear" w:color="auto" w:fill="C6C6C6"/>
          </w:tcPr>
          <w:p w14:paraId="2AD96B51" w14:textId="77777777" w:rsidR="00D97E3B" w:rsidRPr="00BC4D70" w:rsidRDefault="00D97E3B" w:rsidP="00873066">
            <w:pPr>
              <w:spacing w:before="60" w:after="60"/>
              <w:rPr>
                <w:rFonts w:eastAsia="SimSun"/>
                <w:color w:val="auto"/>
                <w:sz w:val="20"/>
                <w:szCs w:val="20"/>
              </w:rPr>
            </w:pPr>
            <w:r w:rsidRPr="00BC4D70">
              <w:rPr>
                <w:rFonts w:eastAsia="SimSun"/>
                <w:b/>
                <w:color w:val="auto"/>
                <w:sz w:val="20"/>
                <w:szCs w:val="20"/>
              </w:rPr>
              <w:t>Output 5</w:t>
            </w:r>
          </w:p>
        </w:tc>
        <w:tc>
          <w:tcPr>
            <w:tcW w:w="4404" w:type="pct"/>
            <w:gridSpan w:val="4"/>
            <w:shd w:val="clear" w:color="auto" w:fill="C6C6C6"/>
          </w:tcPr>
          <w:p w14:paraId="71F6C901" w14:textId="5A08764E" w:rsidR="00D97E3B" w:rsidRPr="00BC4D70" w:rsidRDefault="00D97E3B" w:rsidP="00873066">
            <w:pPr>
              <w:spacing w:before="60" w:after="60"/>
              <w:rPr>
                <w:color w:val="auto"/>
                <w:sz w:val="20"/>
                <w:szCs w:val="20"/>
              </w:rPr>
            </w:pPr>
            <w:r w:rsidRPr="00BC4D70">
              <w:rPr>
                <w:rFonts w:eastAsia="Calibri"/>
                <w:b/>
                <w:color w:val="auto"/>
                <w:sz w:val="20"/>
                <w:szCs w:val="20"/>
              </w:rPr>
              <w:t xml:space="preserve">Strategy document to guide scale up of PoC CD4, lab-based, PoC and simplified </w:t>
            </w:r>
            <w:r w:rsidR="007B10C8">
              <w:rPr>
                <w:rFonts w:eastAsia="Calibri"/>
                <w:b/>
                <w:color w:val="auto"/>
                <w:sz w:val="20"/>
                <w:szCs w:val="20"/>
              </w:rPr>
              <w:t>VL</w:t>
            </w:r>
            <w:r w:rsidRPr="00BC4D70">
              <w:rPr>
                <w:rFonts w:eastAsia="Calibri"/>
                <w:b/>
                <w:color w:val="auto"/>
                <w:sz w:val="20"/>
                <w:szCs w:val="20"/>
              </w:rPr>
              <w:t xml:space="preserve"> and EID technologies in resource-constrained settings</w:t>
            </w:r>
          </w:p>
        </w:tc>
      </w:tr>
      <w:tr w:rsidR="00D97E3B" w:rsidRPr="006F32BD" w14:paraId="54D2E4BA" w14:textId="77777777" w:rsidTr="001D093F">
        <w:tc>
          <w:tcPr>
            <w:tcW w:w="596" w:type="pct"/>
          </w:tcPr>
          <w:p w14:paraId="07516471" w14:textId="77777777" w:rsidR="00D97E3B" w:rsidRPr="00BC4D70" w:rsidRDefault="00D97E3B" w:rsidP="00873066">
            <w:pPr>
              <w:spacing w:before="60" w:after="60"/>
              <w:rPr>
                <w:rFonts w:eastAsia="SimSun"/>
                <w:color w:val="auto"/>
                <w:sz w:val="20"/>
                <w:szCs w:val="20"/>
              </w:rPr>
            </w:pPr>
            <w:r w:rsidRPr="00BC4D70">
              <w:rPr>
                <w:rFonts w:eastAsia="SimSun"/>
                <w:color w:val="auto"/>
                <w:sz w:val="20"/>
                <w:szCs w:val="20"/>
              </w:rPr>
              <w:t>O.5.1.a</w:t>
            </w:r>
          </w:p>
        </w:tc>
        <w:tc>
          <w:tcPr>
            <w:tcW w:w="2074" w:type="pct"/>
          </w:tcPr>
          <w:p w14:paraId="588704B0" w14:textId="11AF712B" w:rsidR="00D97E3B" w:rsidRPr="00BC4D70" w:rsidRDefault="00D97E3B" w:rsidP="00873066">
            <w:pPr>
              <w:spacing w:before="60" w:after="60"/>
              <w:rPr>
                <w:rFonts w:eastAsia="Calibri"/>
                <w:color w:val="auto"/>
                <w:sz w:val="20"/>
                <w:szCs w:val="20"/>
              </w:rPr>
            </w:pPr>
            <w:r w:rsidRPr="00BC4D70">
              <w:rPr>
                <w:rFonts w:eastAsia="Calibri"/>
                <w:color w:val="auto"/>
                <w:sz w:val="20"/>
                <w:szCs w:val="20"/>
              </w:rPr>
              <w:t xml:space="preserve">Percentage of coverage of </w:t>
            </w:r>
            <w:r w:rsidR="007B10C8">
              <w:rPr>
                <w:rFonts w:eastAsia="Calibri"/>
                <w:color w:val="auto"/>
                <w:sz w:val="20"/>
                <w:szCs w:val="20"/>
              </w:rPr>
              <w:t>VL</w:t>
            </w:r>
            <w:r w:rsidRPr="00BC4D70">
              <w:rPr>
                <w:rFonts w:eastAsia="Calibri"/>
                <w:color w:val="auto"/>
                <w:sz w:val="20"/>
                <w:szCs w:val="20"/>
              </w:rPr>
              <w:t xml:space="preserve"> testing based on annual HIV caseload estimates</w:t>
            </w:r>
          </w:p>
        </w:tc>
        <w:tc>
          <w:tcPr>
            <w:tcW w:w="865" w:type="pct"/>
          </w:tcPr>
          <w:p w14:paraId="4ECBB246" w14:textId="77777777" w:rsidR="00D97E3B" w:rsidRPr="00BC4D70" w:rsidRDefault="00D97E3B" w:rsidP="00873066">
            <w:pPr>
              <w:spacing w:before="60" w:after="60"/>
              <w:rPr>
                <w:color w:val="auto"/>
                <w:sz w:val="20"/>
                <w:szCs w:val="20"/>
              </w:rPr>
            </w:pPr>
            <w:r w:rsidRPr="00BC4D70">
              <w:rPr>
                <w:color w:val="auto"/>
                <w:sz w:val="20"/>
                <w:szCs w:val="20"/>
              </w:rPr>
              <w:t>No target</w:t>
            </w:r>
          </w:p>
        </w:tc>
        <w:tc>
          <w:tcPr>
            <w:tcW w:w="675" w:type="pct"/>
          </w:tcPr>
          <w:p w14:paraId="7782F534" w14:textId="77777777" w:rsidR="00D97E3B" w:rsidRPr="00BC4D70" w:rsidRDefault="00D97E3B" w:rsidP="00873066">
            <w:pPr>
              <w:spacing w:before="60" w:after="60"/>
              <w:rPr>
                <w:color w:val="auto"/>
                <w:sz w:val="20"/>
                <w:szCs w:val="20"/>
              </w:rPr>
            </w:pPr>
            <w:r w:rsidRPr="00BC4D70">
              <w:rPr>
                <w:color w:val="auto"/>
                <w:sz w:val="20"/>
                <w:szCs w:val="20"/>
              </w:rPr>
              <w:t>44% covered by all actors, of which 33% covered by MSF</w:t>
            </w:r>
          </w:p>
        </w:tc>
        <w:tc>
          <w:tcPr>
            <w:tcW w:w="790" w:type="pct"/>
          </w:tcPr>
          <w:p w14:paraId="7605BA8F" w14:textId="77777777" w:rsidR="00D97E3B" w:rsidRPr="00BC4D70" w:rsidRDefault="00D97E3B" w:rsidP="00873066">
            <w:pPr>
              <w:spacing w:before="60" w:after="60"/>
              <w:rPr>
                <w:color w:val="auto"/>
                <w:sz w:val="20"/>
                <w:szCs w:val="20"/>
              </w:rPr>
            </w:pPr>
            <w:r w:rsidRPr="00BC4D70">
              <w:rPr>
                <w:color w:val="auto"/>
                <w:sz w:val="20"/>
                <w:szCs w:val="20"/>
              </w:rPr>
              <w:t>Not defined</w:t>
            </w:r>
          </w:p>
        </w:tc>
      </w:tr>
      <w:tr w:rsidR="00D97E3B" w:rsidRPr="006F32BD" w14:paraId="4BD2C753" w14:textId="77777777" w:rsidTr="001D093F">
        <w:tc>
          <w:tcPr>
            <w:tcW w:w="596" w:type="pct"/>
          </w:tcPr>
          <w:p w14:paraId="399D9940" w14:textId="77777777" w:rsidR="00D97E3B" w:rsidRPr="00BC4D70" w:rsidRDefault="00D97E3B" w:rsidP="00873066">
            <w:pPr>
              <w:spacing w:before="60" w:after="60"/>
              <w:rPr>
                <w:rFonts w:eastAsia="SimSun"/>
                <w:color w:val="auto"/>
                <w:sz w:val="20"/>
                <w:szCs w:val="20"/>
              </w:rPr>
            </w:pPr>
            <w:r w:rsidRPr="00BC4D70">
              <w:rPr>
                <w:rFonts w:eastAsia="SimSun"/>
                <w:color w:val="auto"/>
                <w:sz w:val="20"/>
                <w:szCs w:val="20"/>
              </w:rPr>
              <w:t>O.5.1.b</w:t>
            </w:r>
          </w:p>
        </w:tc>
        <w:tc>
          <w:tcPr>
            <w:tcW w:w="2074" w:type="pct"/>
          </w:tcPr>
          <w:p w14:paraId="6E0CF261" w14:textId="77777777" w:rsidR="00D97E3B" w:rsidRPr="00BC4D70" w:rsidRDefault="00D97E3B" w:rsidP="00873066">
            <w:pPr>
              <w:spacing w:before="60" w:after="60"/>
              <w:rPr>
                <w:rFonts w:eastAsia="Calibri"/>
                <w:color w:val="auto"/>
                <w:sz w:val="20"/>
                <w:szCs w:val="20"/>
              </w:rPr>
            </w:pPr>
            <w:r w:rsidRPr="00BC4D70">
              <w:rPr>
                <w:rFonts w:eastAsia="Calibri"/>
                <w:color w:val="auto"/>
                <w:sz w:val="20"/>
                <w:szCs w:val="20"/>
              </w:rPr>
              <w:t>Coverage of EID</w:t>
            </w:r>
          </w:p>
        </w:tc>
        <w:tc>
          <w:tcPr>
            <w:tcW w:w="865" w:type="pct"/>
          </w:tcPr>
          <w:p w14:paraId="01BB740B" w14:textId="77777777" w:rsidR="00D97E3B" w:rsidRPr="00BC4D70" w:rsidRDefault="00D97E3B" w:rsidP="00873066">
            <w:pPr>
              <w:spacing w:before="60" w:after="60"/>
              <w:rPr>
                <w:color w:val="auto"/>
                <w:sz w:val="20"/>
                <w:szCs w:val="20"/>
              </w:rPr>
            </w:pPr>
            <w:r w:rsidRPr="00BC4D70">
              <w:rPr>
                <w:color w:val="auto"/>
                <w:sz w:val="20"/>
                <w:szCs w:val="20"/>
              </w:rPr>
              <w:t>No target</w:t>
            </w:r>
          </w:p>
        </w:tc>
        <w:tc>
          <w:tcPr>
            <w:tcW w:w="675" w:type="pct"/>
          </w:tcPr>
          <w:p w14:paraId="0F5F86C4" w14:textId="77777777" w:rsidR="00D97E3B" w:rsidRPr="00BC4D70" w:rsidRDefault="00D97E3B" w:rsidP="00873066">
            <w:pPr>
              <w:spacing w:before="60" w:after="60"/>
              <w:rPr>
                <w:color w:val="auto"/>
                <w:sz w:val="20"/>
                <w:szCs w:val="20"/>
              </w:rPr>
            </w:pPr>
            <w:r w:rsidRPr="00BC4D70">
              <w:rPr>
                <w:color w:val="auto"/>
                <w:sz w:val="20"/>
                <w:szCs w:val="20"/>
              </w:rPr>
              <w:t>No data</w:t>
            </w:r>
          </w:p>
        </w:tc>
        <w:tc>
          <w:tcPr>
            <w:tcW w:w="790" w:type="pct"/>
          </w:tcPr>
          <w:p w14:paraId="5EC1CC98" w14:textId="77777777" w:rsidR="00D97E3B" w:rsidRPr="00BC4D70" w:rsidRDefault="00D97E3B" w:rsidP="00873066">
            <w:pPr>
              <w:spacing w:before="60" w:after="60"/>
              <w:rPr>
                <w:color w:val="auto"/>
                <w:sz w:val="20"/>
                <w:szCs w:val="20"/>
              </w:rPr>
            </w:pPr>
            <w:r w:rsidRPr="00BC4D70">
              <w:rPr>
                <w:color w:val="auto"/>
                <w:sz w:val="20"/>
                <w:szCs w:val="20"/>
              </w:rPr>
              <w:t>Not defined</w:t>
            </w:r>
          </w:p>
        </w:tc>
      </w:tr>
      <w:tr w:rsidR="00D97E3B" w:rsidRPr="006F32BD" w14:paraId="3CC4A1DB" w14:textId="77777777" w:rsidTr="001D093F">
        <w:tc>
          <w:tcPr>
            <w:tcW w:w="596" w:type="pct"/>
            <w:shd w:val="clear" w:color="auto" w:fill="auto"/>
          </w:tcPr>
          <w:p w14:paraId="70358867"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O.5.2</w:t>
            </w:r>
          </w:p>
        </w:tc>
        <w:tc>
          <w:tcPr>
            <w:tcW w:w="2074" w:type="pct"/>
            <w:shd w:val="clear" w:color="auto" w:fill="auto"/>
          </w:tcPr>
          <w:p w14:paraId="50BEBBAC" w14:textId="77777777" w:rsidR="00D97E3B" w:rsidRPr="00BC4D70" w:rsidRDefault="00D97E3B" w:rsidP="00873066">
            <w:pPr>
              <w:spacing w:before="60" w:after="60"/>
              <w:rPr>
                <w:rFonts w:eastAsia="Calibri"/>
                <w:color w:val="A6A6A6" w:themeColor="background1" w:themeShade="A6"/>
                <w:sz w:val="20"/>
                <w:szCs w:val="20"/>
              </w:rPr>
            </w:pPr>
            <w:r w:rsidRPr="00BC4D70">
              <w:rPr>
                <w:rFonts w:eastAsia="Calibri"/>
                <w:color w:val="A6A6A6" w:themeColor="background1" w:themeShade="A6"/>
                <w:sz w:val="20"/>
                <w:szCs w:val="20"/>
              </w:rPr>
              <w:t>% project-specific technology and supply prices included in pricing report</w:t>
            </w:r>
          </w:p>
        </w:tc>
        <w:tc>
          <w:tcPr>
            <w:tcW w:w="865" w:type="pct"/>
            <w:shd w:val="clear" w:color="auto" w:fill="auto"/>
          </w:tcPr>
          <w:p w14:paraId="403290D3"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&gt;85%</w:t>
            </w:r>
          </w:p>
        </w:tc>
        <w:tc>
          <w:tcPr>
            <w:tcW w:w="1465" w:type="pct"/>
            <w:gridSpan w:val="2"/>
            <w:shd w:val="clear" w:color="auto" w:fill="auto"/>
          </w:tcPr>
          <w:p w14:paraId="6EEAB23C" w14:textId="77777777" w:rsidR="00D97E3B" w:rsidRPr="00BC4D70" w:rsidRDefault="00D97E3B" w:rsidP="00873066">
            <w:pPr>
              <w:pStyle w:val="CEPATabletext"/>
              <w:spacing w:before="0" w:after="0"/>
              <w:rPr>
                <w:rFonts w:eastAsiaTheme="minorEastAsia"/>
                <w:color w:val="A6A6A6" w:themeColor="background1" w:themeShade="A6"/>
                <w:sz w:val="20"/>
                <w:szCs w:val="20"/>
              </w:rPr>
            </w:pPr>
            <w:r w:rsidRPr="00BC4D70">
              <w:rPr>
                <w:rFonts w:eastAsiaTheme="minorEastAsia"/>
                <w:color w:val="A6A6A6" w:themeColor="background1" w:themeShade="A6"/>
                <w:sz w:val="20"/>
                <w:szCs w:val="20"/>
              </w:rPr>
              <w:t>Dropped after 2015 annual report</w:t>
            </w:r>
          </w:p>
        </w:tc>
      </w:tr>
      <w:tr w:rsidR="00D97E3B" w:rsidRPr="006F32BD" w14:paraId="01193CDE" w14:textId="77777777" w:rsidTr="001D093F">
        <w:tc>
          <w:tcPr>
            <w:tcW w:w="596" w:type="pct"/>
            <w:shd w:val="clear" w:color="auto" w:fill="C6C6C6"/>
          </w:tcPr>
          <w:p w14:paraId="5E82245A" w14:textId="77777777" w:rsidR="00D97E3B" w:rsidRPr="00BC4D70" w:rsidRDefault="00D97E3B" w:rsidP="00873066">
            <w:pPr>
              <w:spacing w:before="60" w:after="60"/>
              <w:rPr>
                <w:b/>
                <w:color w:val="auto"/>
                <w:sz w:val="20"/>
                <w:szCs w:val="20"/>
              </w:rPr>
            </w:pPr>
            <w:r w:rsidRPr="00BC4D70">
              <w:rPr>
                <w:b/>
                <w:color w:val="auto"/>
                <w:sz w:val="20"/>
                <w:szCs w:val="20"/>
              </w:rPr>
              <w:t>Output 6</w:t>
            </w:r>
          </w:p>
        </w:tc>
        <w:tc>
          <w:tcPr>
            <w:tcW w:w="4404" w:type="pct"/>
            <w:gridSpan w:val="4"/>
            <w:shd w:val="clear" w:color="auto" w:fill="C6C6C6"/>
          </w:tcPr>
          <w:p w14:paraId="41B969B6" w14:textId="12954881" w:rsidR="00D97E3B" w:rsidRPr="00BC4D70" w:rsidRDefault="00D97E3B" w:rsidP="00873066">
            <w:pPr>
              <w:spacing w:before="60" w:after="60"/>
              <w:rPr>
                <w:b/>
                <w:color w:val="auto"/>
                <w:sz w:val="20"/>
                <w:szCs w:val="20"/>
              </w:rPr>
            </w:pPr>
            <w:r w:rsidRPr="00BC4D70">
              <w:rPr>
                <w:b/>
                <w:color w:val="auto"/>
                <w:sz w:val="20"/>
                <w:szCs w:val="20"/>
              </w:rPr>
              <w:t xml:space="preserve">Report on economic evaluation of CD4 and </w:t>
            </w:r>
            <w:r w:rsidR="007B10C8">
              <w:rPr>
                <w:b/>
                <w:color w:val="auto"/>
                <w:sz w:val="20"/>
                <w:szCs w:val="20"/>
              </w:rPr>
              <w:t>VL</w:t>
            </w:r>
            <w:r w:rsidRPr="00BC4D70">
              <w:rPr>
                <w:b/>
                <w:color w:val="auto"/>
                <w:sz w:val="20"/>
                <w:szCs w:val="20"/>
              </w:rPr>
              <w:t xml:space="preserve"> platform use in resource-constrained settings to inform policymaking</w:t>
            </w:r>
          </w:p>
        </w:tc>
      </w:tr>
      <w:tr w:rsidR="00D97E3B" w:rsidRPr="006F32BD" w14:paraId="60DBC732" w14:textId="77777777" w:rsidTr="001D093F">
        <w:tc>
          <w:tcPr>
            <w:tcW w:w="596" w:type="pct"/>
            <w:shd w:val="clear" w:color="auto" w:fill="auto"/>
          </w:tcPr>
          <w:p w14:paraId="4040CAA5"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O.6.1</w:t>
            </w:r>
          </w:p>
        </w:tc>
        <w:tc>
          <w:tcPr>
            <w:tcW w:w="2074" w:type="pct"/>
            <w:shd w:val="clear" w:color="auto" w:fill="auto"/>
          </w:tcPr>
          <w:p w14:paraId="10AAE60D" w14:textId="77777777" w:rsidR="00D97E3B" w:rsidRPr="00BC4D70" w:rsidRDefault="00D97E3B" w:rsidP="00873066">
            <w:pPr>
              <w:spacing w:before="60" w:after="60"/>
              <w:rPr>
                <w:rFonts w:eastAsia="Calibri"/>
                <w:color w:val="A6A6A6" w:themeColor="background1" w:themeShade="A6"/>
                <w:sz w:val="20"/>
                <w:szCs w:val="20"/>
              </w:rPr>
            </w:pPr>
            <w:r w:rsidRPr="00BC4D70">
              <w:rPr>
                <w:rFonts w:eastAsia="Calibri"/>
                <w:color w:val="A6A6A6" w:themeColor="background1" w:themeShade="A6"/>
                <w:sz w:val="20"/>
                <w:szCs w:val="20"/>
              </w:rPr>
              <w:t># MSF field sites participating in costing evaluation</w:t>
            </w:r>
          </w:p>
        </w:tc>
        <w:tc>
          <w:tcPr>
            <w:tcW w:w="865" w:type="pct"/>
            <w:shd w:val="clear" w:color="auto" w:fill="auto"/>
          </w:tcPr>
          <w:p w14:paraId="074831F4"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6 countries/sites</w:t>
            </w:r>
          </w:p>
        </w:tc>
        <w:tc>
          <w:tcPr>
            <w:tcW w:w="1465" w:type="pct"/>
            <w:gridSpan w:val="2"/>
            <w:shd w:val="clear" w:color="auto" w:fill="auto"/>
          </w:tcPr>
          <w:p w14:paraId="77B11E13" w14:textId="77777777" w:rsidR="00D97E3B" w:rsidRPr="00BC4D70" w:rsidRDefault="00D97E3B" w:rsidP="00873066">
            <w:pPr>
              <w:pStyle w:val="CEPATabletext"/>
              <w:spacing w:before="0" w:after="0"/>
              <w:rPr>
                <w:rFonts w:eastAsiaTheme="minorEastAsia"/>
                <w:color w:val="A6A6A6" w:themeColor="background1" w:themeShade="A6"/>
                <w:sz w:val="20"/>
                <w:szCs w:val="20"/>
              </w:rPr>
            </w:pPr>
            <w:r w:rsidRPr="00BC4D70">
              <w:rPr>
                <w:rFonts w:eastAsiaTheme="minorEastAsia"/>
                <w:color w:val="A6A6A6" w:themeColor="background1" w:themeShade="A6"/>
                <w:sz w:val="20"/>
                <w:szCs w:val="20"/>
              </w:rPr>
              <w:t>Dropped after 2015 annual report</w:t>
            </w:r>
          </w:p>
        </w:tc>
      </w:tr>
      <w:tr w:rsidR="00D97E3B" w:rsidRPr="006F32BD" w14:paraId="2EBD00EF" w14:textId="77777777" w:rsidTr="001D093F">
        <w:tc>
          <w:tcPr>
            <w:tcW w:w="596" w:type="pct"/>
          </w:tcPr>
          <w:p w14:paraId="6A75B296" w14:textId="77777777" w:rsidR="00D97E3B" w:rsidRPr="00BC4D70" w:rsidRDefault="00D97E3B" w:rsidP="00873066">
            <w:pPr>
              <w:spacing w:before="60" w:after="60"/>
              <w:rPr>
                <w:rFonts w:eastAsia="SimSun"/>
                <w:color w:val="auto"/>
                <w:sz w:val="20"/>
                <w:szCs w:val="20"/>
              </w:rPr>
            </w:pPr>
            <w:r w:rsidRPr="00BC4D70">
              <w:rPr>
                <w:rFonts w:eastAsia="SimSun"/>
                <w:color w:val="auto"/>
                <w:sz w:val="20"/>
                <w:szCs w:val="20"/>
              </w:rPr>
              <w:t>O.6.2</w:t>
            </w:r>
          </w:p>
        </w:tc>
        <w:tc>
          <w:tcPr>
            <w:tcW w:w="2074" w:type="pct"/>
          </w:tcPr>
          <w:p w14:paraId="40511423" w14:textId="77777777" w:rsidR="00D97E3B" w:rsidRPr="00BC4D70" w:rsidRDefault="00D97E3B" w:rsidP="00873066">
            <w:pPr>
              <w:spacing w:before="60" w:after="60"/>
              <w:rPr>
                <w:rFonts w:eastAsia="Calibri"/>
                <w:color w:val="auto"/>
                <w:sz w:val="20"/>
                <w:szCs w:val="20"/>
              </w:rPr>
            </w:pPr>
            <w:r w:rsidRPr="00BC4D70">
              <w:rPr>
                <w:rFonts w:eastAsia="Calibri"/>
                <w:color w:val="auto"/>
                <w:sz w:val="20"/>
                <w:szCs w:val="20"/>
              </w:rPr>
              <w:t>Median price test/ patient (range and IQ)</w:t>
            </w:r>
          </w:p>
        </w:tc>
        <w:tc>
          <w:tcPr>
            <w:tcW w:w="865" w:type="pct"/>
          </w:tcPr>
          <w:p w14:paraId="017E4EEC" w14:textId="77777777" w:rsidR="00D97E3B" w:rsidRPr="00BC4D70" w:rsidRDefault="00D97E3B" w:rsidP="00873066">
            <w:pPr>
              <w:spacing w:before="60" w:after="60"/>
              <w:rPr>
                <w:color w:val="auto"/>
                <w:sz w:val="20"/>
                <w:szCs w:val="20"/>
              </w:rPr>
            </w:pPr>
            <w:r w:rsidRPr="00BC4D70">
              <w:rPr>
                <w:color w:val="auto"/>
                <w:sz w:val="20"/>
                <w:szCs w:val="20"/>
              </w:rPr>
              <w:t>No target</w:t>
            </w:r>
          </w:p>
        </w:tc>
        <w:tc>
          <w:tcPr>
            <w:tcW w:w="675" w:type="pct"/>
          </w:tcPr>
          <w:p w14:paraId="65A65CCB" w14:textId="0E2D1BBD" w:rsidR="00D97E3B" w:rsidRPr="00BC4D70" w:rsidRDefault="00D97E3B" w:rsidP="00873066">
            <w:pPr>
              <w:spacing w:before="60" w:after="60"/>
              <w:rPr>
                <w:color w:val="auto"/>
                <w:sz w:val="20"/>
                <w:szCs w:val="20"/>
              </w:rPr>
            </w:pPr>
            <w:r w:rsidRPr="00BC4D70">
              <w:rPr>
                <w:color w:val="auto"/>
                <w:sz w:val="20"/>
                <w:szCs w:val="20"/>
              </w:rPr>
              <w:t>Multiple</w:t>
            </w:r>
          </w:p>
        </w:tc>
        <w:tc>
          <w:tcPr>
            <w:tcW w:w="790" w:type="pct"/>
          </w:tcPr>
          <w:p w14:paraId="3A42C644" w14:textId="77777777" w:rsidR="00D97E3B" w:rsidRPr="00BC4D70" w:rsidRDefault="00D97E3B" w:rsidP="00873066">
            <w:pPr>
              <w:spacing w:before="60" w:after="60"/>
              <w:rPr>
                <w:color w:val="auto"/>
                <w:sz w:val="20"/>
                <w:szCs w:val="20"/>
              </w:rPr>
            </w:pPr>
            <w:r w:rsidRPr="00BC4D70">
              <w:rPr>
                <w:color w:val="auto"/>
                <w:sz w:val="20"/>
                <w:szCs w:val="20"/>
              </w:rPr>
              <w:t>Not defined</w:t>
            </w:r>
          </w:p>
        </w:tc>
      </w:tr>
      <w:tr w:rsidR="00D97E3B" w:rsidRPr="006F32BD" w14:paraId="31FEC507" w14:textId="77777777" w:rsidTr="001D093F">
        <w:tc>
          <w:tcPr>
            <w:tcW w:w="596" w:type="pct"/>
            <w:shd w:val="clear" w:color="auto" w:fill="BFBFBF" w:themeFill="background1" w:themeFillShade="BF"/>
          </w:tcPr>
          <w:p w14:paraId="23D9AFAF" w14:textId="77777777" w:rsidR="00D97E3B" w:rsidRPr="00BC4D70" w:rsidRDefault="00D97E3B" w:rsidP="00873066">
            <w:pPr>
              <w:spacing w:before="60" w:after="60"/>
              <w:rPr>
                <w:rFonts w:eastAsia="SimSun"/>
                <w:b/>
                <w:color w:val="auto"/>
                <w:sz w:val="20"/>
                <w:szCs w:val="20"/>
              </w:rPr>
            </w:pPr>
            <w:r w:rsidRPr="00BC4D70">
              <w:rPr>
                <w:rFonts w:eastAsia="SimSun"/>
                <w:b/>
                <w:color w:val="auto"/>
                <w:sz w:val="20"/>
                <w:szCs w:val="20"/>
              </w:rPr>
              <w:t>Output 7</w:t>
            </w:r>
          </w:p>
        </w:tc>
        <w:tc>
          <w:tcPr>
            <w:tcW w:w="4404" w:type="pct"/>
            <w:gridSpan w:val="4"/>
            <w:shd w:val="clear" w:color="auto" w:fill="BFBFBF" w:themeFill="background1" w:themeFillShade="BF"/>
          </w:tcPr>
          <w:p w14:paraId="7135A4C3" w14:textId="77777777" w:rsidR="00D97E3B" w:rsidRPr="00BC4D70" w:rsidRDefault="00D97E3B" w:rsidP="00873066">
            <w:pPr>
              <w:spacing w:before="60" w:after="60"/>
              <w:rPr>
                <w:b/>
                <w:color w:val="auto"/>
                <w:sz w:val="20"/>
                <w:szCs w:val="20"/>
              </w:rPr>
            </w:pPr>
            <w:r w:rsidRPr="00BC4D70">
              <w:rPr>
                <w:b/>
                <w:color w:val="auto"/>
                <w:sz w:val="20"/>
                <w:szCs w:val="20"/>
              </w:rPr>
              <w:t>List of specifications for resource-adapted, end user needs-driven product development</w:t>
            </w:r>
          </w:p>
        </w:tc>
      </w:tr>
      <w:tr w:rsidR="00D97E3B" w:rsidRPr="006F32BD" w14:paraId="2A8FE533" w14:textId="77777777" w:rsidTr="001D093F">
        <w:tc>
          <w:tcPr>
            <w:tcW w:w="596" w:type="pct"/>
            <w:shd w:val="clear" w:color="auto" w:fill="auto"/>
          </w:tcPr>
          <w:p w14:paraId="15D95E82"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O.7.1</w:t>
            </w:r>
          </w:p>
        </w:tc>
        <w:tc>
          <w:tcPr>
            <w:tcW w:w="2074" w:type="pct"/>
            <w:shd w:val="clear" w:color="auto" w:fill="auto"/>
          </w:tcPr>
          <w:p w14:paraId="4F0B6736" w14:textId="77777777" w:rsidR="00D97E3B" w:rsidRPr="00BC4D70" w:rsidRDefault="00D97E3B" w:rsidP="00873066">
            <w:pPr>
              <w:spacing w:before="60" w:after="60"/>
              <w:rPr>
                <w:rFonts w:eastAsia="Calibri"/>
                <w:color w:val="A6A6A6" w:themeColor="background1" w:themeShade="A6"/>
                <w:sz w:val="20"/>
                <w:szCs w:val="20"/>
              </w:rPr>
            </w:pPr>
            <w:r w:rsidRPr="00BC4D70">
              <w:rPr>
                <w:rFonts w:eastAsia="Calibri"/>
                <w:color w:val="A6A6A6" w:themeColor="background1" w:themeShade="A6"/>
                <w:sz w:val="20"/>
                <w:szCs w:val="20"/>
              </w:rPr>
              <w:t>% relevant manufacturers presented with specification list in the final year of this project</w:t>
            </w:r>
          </w:p>
        </w:tc>
        <w:tc>
          <w:tcPr>
            <w:tcW w:w="865" w:type="pct"/>
            <w:shd w:val="clear" w:color="auto" w:fill="auto"/>
          </w:tcPr>
          <w:p w14:paraId="03834F1F"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100%</w:t>
            </w:r>
          </w:p>
        </w:tc>
        <w:tc>
          <w:tcPr>
            <w:tcW w:w="1465" w:type="pct"/>
            <w:gridSpan w:val="2"/>
            <w:shd w:val="clear" w:color="auto" w:fill="auto"/>
          </w:tcPr>
          <w:p w14:paraId="5F7F1D32" w14:textId="77777777" w:rsidR="00D97E3B" w:rsidRPr="00BC4D70" w:rsidRDefault="00D97E3B" w:rsidP="00873066">
            <w:pPr>
              <w:pStyle w:val="CEPATabletext"/>
              <w:spacing w:before="0" w:after="0"/>
              <w:rPr>
                <w:rFonts w:eastAsiaTheme="minorEastAsia"/>
                <w:color w:val="A6A6A6" w:themeColor="background1" w:themeShade="A6"/>
                <w:sz w:val="20"/>
                <w:szCs w:val="20"/>
              </w:rPr>
            </w:pPr>
            <w:r w:rsidRPr="00BC4D70">
              <w:rPr>
                <w:rFonts w:eastAsiaTheme="minorEastAsia"/>
                <w:color w:val="A6A6A6" w:themeColor="background1" w:themeShade="A6"/>
                <w:sz w:val="20"/>
                <w:szCs w:val="20"/>
              </w:rPr>
              <w:t>Dropped after 2015 annual report</w:t>
            </w:r>
          </w:p>
        </w:tc>
      </w:tr>
      <w:tr w:rsidR="00D97E3B" w:rsidRPr="006F32BD" w14:paraId="6221EB73" w14:textId="77777777" w:rsidTr="001D093F">
        <w:tc>
          <w:tcPr>
            <w:tcW w:w="596" w:type="pct"/>
            <w:shd w:val="clear" w:color="auto" w:fill="auto"/>
          </w:tcPr>
          <w:p w14:paraId="6D58ADCA"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O.7.2</w:t>
            </w:r>
          </w:p>
        </w:tc>
        <w:tc>
          <w:tcPr>
            <w:tcW w:w="2074" w:type="pct"/>
            <w:shd w:val="clear" w:color="auto" w:fill="auto"/>
          </w:tcPr>
          <w:p w14:paraId="7E101D88" w14:textId="77777777" w:rsidR="00D97E3B" w:rsidRPr="00BC4D70" w:rsidRDefault="00D97E3B" w:rsidP="00873066">
            <w:pPr>
              <w:spacing w:before="60" w:after="60"/>
              <w:rPr>
                <w:rFonts w:eastAsia="Calibri"/>
                <w:color w:val="A6A6A6" w:themeColor="background1" w:themeShade="A6"/>
                <w:sz w:val="20"/>
                <w:szCs w:val="20"/>
              </w:rPr>
            </w:pPr>
            <w:r w:rsidRPr="00BC4D70">
              <w:rPr>
                <w:rFonts w:eastAsia="Calibri"/>
                <w:color w:val="A6A6A6" w:themeColor="background1" w:themeShade="A6"/>
                <w:sz w:val="20"/>
                <w:szCs w:val="20"/>
              </w:rPr>
              <w:t># new quality-assured, resource-adapted products available for implementation in MSF-type settings</w:t>
            </w:r>
          </w:p>
        </w:tc>
        <w:tc>
          <w:tcPr>
            <w:tcW w:w="865" w:type="pct"/>
            <w:shd w:val="clear" w:color="auto" w:fill="auto"/>
          </w:tcPr>
          <w:p w14:paraId="4B49F40D"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10</w:t>
            </w:r>
          </w:p>
        </w:tc>
        <w:tc>
          <w:tcPr>
            <w:tcW w:w="1465" w:type="pct"/>
            <w:gridSpan w:val="2"/>
            <w:shd w:val="clear" w:color="auto" w:fill="auto"/>
          </w:tcPr>
          <w:p w14:paraId="6F24641F" w14:textId="77777777" w:rsidR="00D97E3B" w:rsidRPr="00BC4D70" w:rsidRDefault="00D97E3B" w:rsidP="00873066">
            <w:pPr>
              <w:pStyle w:val="CEPATabletext"/>
              <w:spacing w:before="0" w:after="0"/>
              <w:rPr>
                <w:rFonts w:eastAsiaTheme="minorEastAsia"/>
                <w:color w:val="A6A6A6" w:themeColor="background1" w:themeShade="A6"/>
                <w:sz w:val="20"/>
                <w:szCs w:val="20"/>
              </w:rPr>
            </w:pPr>
            <w:r w:rsidRPr="00BC4D70">
              <w:rPr>
                <w:rFonts w:eastAsiaTheme="minorEastAsia"/>
                <w:color w:val="A6A6A6" w:themeColor="background1" w:themeShade="A6"/>
                <w:sz w:val="20"/>
                <w:szCs w:val="20"/>
              </w:rPr>
              <w:t>Dropped after 2015 annual report</w:t>
            </w:r>
          </w:p>
        </w:tc>
      </w:tr>
      <w:tr w:rsidR="00D97E3B" w:rsidRPr="006F32BD" w14:paraId="14127D03" w14:textId="77777777" w:rsidTr="001D093F">
        <w:tc>
          <w:tcPr>
            <w:tcW w:w="596" w:type="pct"/>
            <w:shd w:val="clear" w:color="auto" w:fill="BFBFBF" w:themeFill="background1" w:themeFillShade="BF"/>
          </w:tcPr>
          <w:p w14:paraId="4A529416" w14:textId="77777777" w:rsidR="00D97E3B" w:rsidRPr="00BC4D70" w:rsidRDefault="00D97E3B" w:rsidP="00873066">
            <w:pPr>
              <w:spacing w:before="60" w:after="60"/>
              <w:rPr>
                <w:rFonts w:eastAsia="SimSun"/>
                <w:b/>
                <w:color w:val="auto"/>
                <w:sz w:val="20"/>
                <w:szCs w:val="20"/>
              </w:rPr>
            </w:pPr>
            <w:r w:rsidRPr="00BC4D70">
              <w:rPr>
                <w:rFonts w:eastAsia="SimSun"/>
                <w:b/>
                <w:color w:val="auto"/>
                <w:sz w:val="20"/>
                <w:szCs w:val="20"/>
              </w:rPr>
              <w:t>Output 8</w:t>
            </w:r>
          </w:p>
        </w:tc>
        <w:tc>
          <w:tcPr>
            <w:tcW w:w="4404" w:type="pct"/>
            <w:gridSpan w:val="4"/>
            <w:shd w:val="clear" w:color="auto" w:fill="BFBFBF" w:themeFill="background1" w:themeFillShade="BF"/>
          </w:tcPr>
          <w:p w14:paraId="5D07ECC1" w14:textId="2CE65304" w:rsidR="00D97E3B" w:rsidRPr="00BC4D70" w:rsidRDefault="00D97E3B" w:rsidP="00873066">
            <w:pPr>
              <w:spacing w:before="60" w:after="60"/>
              <w:rPr>
                <w:color w:val="auto"/>
                <w:sz w:val="20"/>
                <w:szCs w:val="20"/>
              </w:rPr>
            </w:pPr>
            <w:r w:rsidRPr="00BC4D70">
              <w:rPr>
                <w:rFonts w:eastAsiaTheme="minorHAnsi"/>
                <w:b/>
                <w:color w:val="auto"/>
                <w:sz w:val="20"/>
                <w:szCs w:val="20"/>
              </w:rPr>
              <w:t xml:space="preserve">Report on evidence-based recommendations on resource-appropriate CD4, </w:t>
            </w:r>
            <w:r w:rsidR="007B10C8">
              <w:rPr>
                <w:rFonts w:eastAsiaTheme="minorHAnsi"/>
                <w:b/>
                <w:color w:val="auto"/>
                <w:sz w:val="20"/>
                <w:szCs w:val="20"/>
              </w:rPr>
              <w:t>VL</w:t>
            </w:r>
            <w:r w:rsidRPr="00BC4D70">
              <w:rPr>
                <w:rFonts w:eastAsiaTheme="minorHAnsi"/>
                <w:b/>
                <w:color w:val="auto"/>
                <w:sz w:val="20"/>
                <w:szCs w:val="20"/>
              </w:rPr>
              <w:t xml:space="preserve"> and EID testing for normative guidance and country policy</w:t>
            </w:r>
          </w:p>
        </w:tc>
      </w:tr>
      <w:tr w:rsidR="00D97E3B" w:rsidRPr="006F32BD" w14:paraId="27683412" w14:textId="77777777" w:rsidTr="001D093F">
        <w:tc>
          <w:tcPr>
            <w:tcW w:w="596" w:type="pct"/>
            <w:shd w:val="clear" w:color="auto" w:fill="auto"/>
          </w:tcPr>
          <w:p w14:paraId="245287DA"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O.8.1</w:t>
            </w:r>
          </w:p>
        </w:tc>
        <w:tc>
          <w:tcPr>
            <w:tcW w:w="2074" w:type="pct"/>
            <w:shd w:val="clear" w:color="auto" w:fill="auto"/>
          </w:tcPr>
          <w:p w14:paraId="0D326CAC" w14:textId="77777777" w:rsidR="00D97E3B" w:rsidRPr="00BC4D70" w:rsidRDefault="00D97E3B" w:rsidP="00873066">
            <w:pPr>
              <w:spacing w:before="60" w:after="60"/>
              <w:rPr>
                <w:rFonts w:eastAsia="Calibri"/>
                <w:color w:val="A6A6A6" w:themeColor="background1" w:themeShade="A6"/>
                <w:sz w:val="20"/>
                <w:szCs w:val="20"/>
              </w:rPr>
            </w:pPr>
            <w:r w:rsidRPr="00BC4D70">
              <w:rPr>
                <w:rFonts w:eastAsia="Calibri"/>
                <w:color w:val="A6A6A6" w:themeColor="background1" w:themeShade="A6"/>
                <w:sz w:val="20"/>
                <w:szCs w:val="20"/>
              </w:rPr>
              <w:t># of LSHTM-led collaboration meetings attended for development of generic new diagnostics field evaluation protocols</w:t>
            </w:r>
          </w:p>
        </w:tc>
        <w:tc>
          <w:tcPr>
            <w:tcW w:w="865" w:type="pct"/>
            <w:shd w:val="clear" w:color="auto" w:fill="auto"/>
          </w:tcPr>
          <w:p w14:paraId="627FB7FB" w14:textId="62FFA9A9" w:rsidR="00D97E3B" w:rsidRPr="00BC4D70" w:rsidRDefault="00D97E3B" w:rsidP="00873066">
            <w:pPr>
              <w:spacing w:before="60" w:after="60"/>
              <w:jc w:val="left"/>
              <w:rPr>
                <w:color w:val="A6A6A6" w:themeColor="background1" w:themeShade="A6"/>
                <w:sz w:val="20"/>
                <w:szCs w:val="20"/>
              </w:rPr>
            </w:pPr>
            <w:r w:rsidRPr="00BC4D70">
              <w:rPr>
                <w:color w:val="A6A6A6" w:themeColor="background1" w:themeShade="A6"/>
                <w:sz w:val="20"/>
                <w:szCs w:val="20"/>
              </w:rPr>
              <w:t>3 meetings during the course of the LSHTM-</w:t>
            </w:r>
            <w:r w:rsidR="00B55E9C">
              <w:rPr>
                <w:color w:val="A6A6A6" w:themeColor="background1" w:themeShade="A6"/>
                <w:sz w:val="20"/>
                <w:szCs w:val="20"/>
              </w:rPr>
              <w:t>Unitaid</w:t>
            </w:r>
            <w:r w:rsidRPr="00BC4D70">
              <w:rPr>
                <w:color w:val="A6A6A6" w:themeColor="background1" w:themeShade="A6"/>
                <w:sz w:val="20"/>
                <w:szCs w:val="20"/>
              </w:rPr>
              <w:t xml:space="preserve"> project</w:t>
            </w:r>
          </w:p>
        </w:tc>
        <w:tc>
          <w:tcPr>
            <w:tcW w:w="1465" w:type="pct"/>
            <w:gridSpan w:val="2"/>
            <w:shd w:val="clear" w:color="auto" w:fill="auto"/>
          </w:tcPr>
          <w:p w14:paraId="58C20C8C" w14:textId="77777777" w:rsidR="00D97E3B" w:rsidRPr="00BC4D70" w:rsidRDefault="00D97E3B" w:rsidP="00873066">
            <w:pPr>
              <w:pStyle w:val="CEPATabletext"/>
              <w:spacing w:before="0" w:after="0"/>
              <w:rPr>
                <w:rFonts w:eastAsiaTheme="minorEastAsia"/>
                <w:color w:val="A6A6A6" w:themeColor="background1" w:themeShade="A6"/>
                <w:sz w:val="20"/>
                <w:szCs w:val="20"/>
              </w:rPr>
            </w:pPr>
            <w:r w:rsidRPr="00BC4D70">
              <w:rPr>
                <w:rFonts w:eastAsiaTheme="minorEastAsia"/>
                <w:color w:val="A6A6A6" w:themeColor="background1" w:themeShade="A6"/>
                <w:sz w:val="20"/>
                <w:szCs w:val="20"/>
              </w:rPr>
              <w:t>Dropped after 2015 annual report</w:t>
            </w:r>
          </w:p>
        </w:tc>
      </w:tr>
      <w:tr w:rsidR="00D97E3B" w:rsidRPr="006F32BD" w14:paraId="23384183" w14:textId="77777777" w:rsidTr="001D093F">
        <w:tc>
          <w:tcPr>
            <w:tcW w:w="596" w:type="pct"/>
            <w:shd w:val="clear" w:color="auto" w:fill="auto"/>
          </w:tcPr>
          <w:p w14:paraId="63A26EE1"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O.8.2</w:t>
            </w:r>
          </w:p>
        </w:tc>
        <w:tc>
          <w:tcPr>
            <w:tcW w:w="2074" w:type="pct"/>
            <w:shd w:val="clear" w:color="auto" w:fill="auto"/>
          </w:tcPr>
          <w:p w14:paraId="69848D7F" w14:textId="77777777" w:rsidR="00D97E3B" w:rsidRPr="00BC4D70" w:rsidRDefault="00D97E3B" w:rsidP="00873066">
            <w:pPr>
              <w:spacing w:before="60" w:after="60"/>
              <w:rPr>
                <w:rFonts w:eastAsia="Calibri"/>
                <w:color w:val="A6A6A6" w:themeColor="background1" w:themeShade="A6"/>
                <w:sz w:val="20"/>
                <w:szCs w:val="20"/>
              </w:rPr>
            </w:pPr>
            <w:r w:rsidRPr="00BC4D70">
              <w:rPr>
                <w:rFonts w:eastAsia="Calibri"/>
                <w:color w:val="A6A6A6" w:themeColor="background1" w:themeShade="A6"/>
                <w:sz w:val="20"/>
                <w:szCs w:val="20"/>
              </w:rPr>
              <w:t># collaboration meetings with partners between mid-2013 and the end of the project</w:t>
            </w:r>
          </w:p>
        </w:tc>
        <w:tc>
          <w:tcPr>
            <w:tcW w:w="865" w:type="pct"/>
            <w:shd w:val="clear" w:color="auto" w:fill="auto"/>
          </w:tcPr>
          <w:p w14:paraId="1D352039"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5 (1 in 2013, 2 each in 2014 &amp; 15)</w:t>
            </w:r>
          </w:p>
        </w:tc>
        <w:tc>
          <w:tcPr>
            <w:tcW w:w="1465" w:type="pct"/>
            <w:gridSpan w:val="2"/>
            <w:shd w:val="clear" w:color="auto" w:fill="auto"/>
          </w:tcPr>
          <w:p w14:paraId="1A21F171" w14:textId="77777777" w:rsidR="00D97E3B" w:rsidRPr="00BC4D70" w:rsidRDefault="00D97E3B" w:rsidP="00873066">
            <w:pPr>
              <w:pStyle w:val="CEPATabletext"/>
              <w:spacing w:before="0" w:after="0"/>
              <w:rPr>
                <w:rFonts w:eastAsiaTheme="minorEastAsia"/>
                <w:color w:val="A6A6A6" w:themeColor="background1" w:themeShade="A6"/>
                <w:sz w:val="20"/>
                <w:szCs w:val="20"/>
              </w:rPr>
            </w:pPr>
            <w:r w:rsidRPr="00BC4D70">
              <w:rPr>
                <w:rFonts w:eastAsiaTheme="minorEastAsia"/>
                <w:color w:val="A6A6A6" w:themeColor="background1" w:themeShade="A6"/>
                <w:sz w:val="20"/>
                <w:szCs w:val="20"/>
              </w:rPr>
              <w:t>Dropped after 2015 annual report</w:t>
            </w:r>
          </w:p>
        </w:tc>
      </w:tr>
      <w:tr w:rsidR="00D97E3B" w:rsidRPr="006F32BD" w14:paraId="0337D1E8" w14:textId="77777777" w:rsidTr="001D093F">
        <w:tc>
          <w:tcPr>
            <w:tcW w:w="596" w:type="pct"/>
            <w:shd w:val="clear" w:color="auto" w:fill="BFBFBF" w:themeFill="background1" w:themeFillShade="BF"/>
          </w:tcPr>
          <w:p w14:paraId="403600AD" w14:textId="77777777" w:rsidR="00D97E3B" w:rsidRPr="00BC4D70" w:rsidRDefault="00D97E3B" w:rsidP="00873066">
            <w:pPr>
              <w:spacing w:before="60" w:after="60"/>
              <w:rPr>
                <w:rFonts w:eastAsia="SimSun"/>
                <w:b/>
                <w:color w:val="auto"/>
                <w:sz w:val="20"/>
                <w:szCs w:val="20"/>
              </w:rPr>
            </w:pPr>
            <w:r w:rsidRPr="00BC4D70">
              <w:rPr>
                <w:rFonts w:eastAsia="SimSun"/>
                <w:b/>
                <w:color w:val="auto"/>
                <w:sz w:val="20"/>
                <w:szCs w:val="20"/>
              </w:rPr>
              <w:t>Output 9</w:t>
            </w:r>
          </w:p>
        </w:tc>
        <w:tc>
          <w:tcPr>
            <w:tcW w:w="4404" w:type="pct"/>
            <w:gridSpan w:val="4"/>
            <w:shd w:val="clear" w:color="auto" w:fill="BFBFBF" w:themeFill="background1" w:themeFillShade="BF"/>
          </w:tcPr>
          <w:p w14:paraId="72C4CEA0" w14:textId="77777777" w:rsidR="00D97E3B" w:rsidRPr="00BC4D70" w:rsidRDefault="00D97E3B" w:rsidP="00873066">
            <w:pPr>
              <w:spacing w:before="60" w:after="60"/>
              <w:rPr>
                <w:b/>
                <w:color w:val="auto"/>
                <w:sz w:val="20"/>
                <w:szCs w:val="20"/>
              </w:rPr>
            </w:pPr>
            <w:r w:rsidRPr="00BC4D70">
              <w:rPr>
                <w:b/>
                <w:color w:val="auto"/>
                <w:sz w:val="20"/>
                <w:szCs w:val="20"/>
              </w:rPr>
              <w:t>Plan for sustainable transition</w:t>
            </w:r>
          </w:p>
        </w:tc>
      </w:tr>
      <w:tr w:rsidR="00D97E3B" w:rsidRPr="006F32BD" w14:paraId="70F1FC50" w14:textId="77777777" w:rsidTr="001D093F">
        <w:tc>
          <w:tcPr>
            <w:tcW w:w="596" w:type="pct"/>
            <w:shd w:val="clear" w:color="auto" w:fill="auto"/>
          </w:tcPr>
          <w:p w14:paraId="0F7C557A"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O.9.1</w:t>
            </w:r>
          </w:p>
        </w:tc>
        <w:tc>
          <w:tcPr>
            <w:tcW w:w="2074" w:type="pct"/>
            <w:shd w:val="clear" w:color="auto" w:fill="auto"/>
          </w:tcPr>
          <w:p w14:paraId="2FE7D289" w14:textId="77777777" w:rsidR="00D97E3B" w:rsidRPr="00BC4D70" w:rsidRDefault="00D97E3B" w:rsidP="00873066">
            <w:pPr>
              <w:spacing w:before="60" w:after="60"/>
              <w:rPr>
                <w:rFonts w:eastAsia="Calibri"/>
                <w:color w:val="A6A6A6" w:themeColor="background1" w:themeShade="A6"/>
                <w:sz w:val="20"/>
                <w:szCs w:val="20"/>
              </w:rPr>
            </w:pPr>
            <w:r w:rsidRPr="00BC4D70">
              <w:rPr>
                <w:rFonts w:eastAsia="Calibri"/>
                <w:color w:val="A6A6A6" w:themeColor="background1" w:themeShade="A6"/>
                <w:sz w:val="20"/>
                <w:szCs w:val="20"/>
              </w:rPr>
              <w:t>% national funding available annually for each country</w:t>
            </w:r>
          </w:p>
        </w:tc>
        <w:tc>
          <w:tcPr>
            <w:tcW w:w="865" w:type="pct"/>
            <w:shd w:val="clear" w:color="auto" w:fill="auto"/>
          </w:tcPr>
          <w:p w14:paraId="6B849880" w14:textId="77777777" w:rsidR="00D97E3B" w:rsidRPr="00BC4D70" w:rsidRDefault="00D97E3B" w:rsidP="00873066">
            <w:pPr>
              <w:spacing w:before="60" w:after="60"/>
              <w:rPr>
                <w:color w:val="A6A6A6" w:themeColor="background1" w:themeShade="A6"/>
                <w:sz w:val="20"/>
                <w:szCs w:val="20"/>
              </w:rPr>
            </w:pPr>
          </w:p>
        </w:tc>
        <w:tc>
          <w:tcPr>
            <w:tcW w:w="1465" w:type="pct"/>
            <w:gridSpan w:val="2"/>
            <w:shd w:val="clear" w:color="auto" w:fill="auto"/>
          </w:tcPr>
          <w:p w14:paraId="58DB5252" w14:textId="77777777" w:rsidR="00D97E3B" w:rsidRPr="00BC4D70" w:rsidRDefault="00D97E3B" w:rsidP="00873066">
            <w:pPr>
              <w:pStyle w:val="CEPATabletext"/>
              <w:spacing w:before="0" w:after="0"/>
              <w:rPr>
                <w:rFonts w:eastAsiaTheme="minorEastAsia"/>
                <w:color w:val="A6A6A6" w:themeColor="background1" w:themeShade="A6"/>
                <w:sz w:val="20"/>
                <w:szCs w:val="20"/>
              </w:rPr>
            </w:pPr>
            <w:r w:rsidRPr="00BC4D70">
              <w:rPr>
                <w:rFonts w:eastAsiaTheme="minorEastAsia"/>
                <w:color w:val="A6A6A6" w:themeColor="background1" w:themeShade="A6"/>
                <w:sz w:val="20"/>
                <w:szCs w:val="20"/>
              </w:rPr>
              <w:t>Dropped after 2015 annual report</w:t>
            </w:r>
          </w:p>
        </w:tc>
      </w:tr>
      <w:tr w:rsidR="00D97E3B" w:rsidRPr="006F32BD" w14:paraId="712EC8F0" w14:textId="77777777" w:rsidTr="001D093F">
        <w:tc>
          <w:tcPr>
            <w:tcW w:w="596" w:type="pct"/>
            <w:shd w:val="clear" w:color="auto" w:fill="auto"/>
          </w:tcPr>
          <w:p w14:paraId="0E6971D1"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O.9.2</w:t>
            </w:r>
          </w:p>
        </w:tc>
        <w:tc>
          <w:tcPr>
            <w:tcW w:w="2074" w:type="pct"/>
            <w:shd w:val="clear" w:color="auto" w:fill="auto"/>
          </w:tcPr>
          <w:p w14:paraId="7E401000" w14:textId="77777777" w:rsidR="00D97E3B" w:rsidRPr="00BC4D70" w:rsidRDefault="00D97E3B" w:rsidP="00873066">
            <w:pPr>
              <w:spacing w:before="60" w:after="60"/>
              <w:jc w:val="left"/>
              <w:rPr>
                <w:rFonts w:eastAsia="Calibri"/>
                <w:color w:val="A6A6A6" w:themeColor="background1" w:themeShade="A6"/>
                <w:sz w:val="20"/>
                <w:szCs w:val="20"/>
              </w:rPr>
            </w:pPr>
            <w:r w:rsidRPr="00BC4D70">
              <w:rPr>
                <w:rFonts w:eastAsia="Calibri"/>
                <w:color w:val="A6A6A6" w:themeColor="background1" w:themeShade="A6"/>
                <w:sz w:val="20"/>
                <w:szCs w:val="20"/>
              </w:rPr>
              <w:t>% international funding available annually for each country</w:t>
            </w:r>
          </w:p>
        </w:tc>
        <w:tc>
          <w:tcPr>
            <w:tcW w:w="865" w:type="pct"/>
            <w:shd w:val="clear" w:color="auto" w:fill="auto"/>
          </w:tcPr>
          <w:p w14:paraId="7AB2CF3A" w14:textId="77777777" w:rsidR="00D97E3B" w:rsidRPr="00BC4D70" w:rsidRDefault="00D97E3B" w:rsidP="00873066">
            <w:pPr>
              <w:spacing w:before="60" w:after="60"/>
              <w:rPr>
                <w:color w:val="A6A6A6" w:themeColor="background1" w:themeShade="A6"/>
                <w:sz w:val="20"/>
                <w:szCs w:val="20"/>
              </w:rPr>
            </w:pPr>
          </w:p>
        </w:tc>
        <w:tc>
          <w:tcPr>
            <w:tcW w:w="1465" w:type="pct"/>
            <w:gridSpan w:val="2"/>
            <w:shd w:val="clear" w:color="auto" w:fill="auto"/>
          </w:tcPr>
          <w:p w14:paraId="38C4CE65" w14:textId="77777777" w:rsidR="00D97E3B" w:rsidRPr="00BC4D70" w:rsidRDefault="00D97E3B" w:rsidP="00873066">
            <w:pPr>
              <w:pStyle w:val="CEPATabletext"/>
              <w:spacing w:before="0" w:after="0"/>
              <w:rPr>
                <w:rFonts w:eastAsiaTheme="minorEastAsia"/>
                <w:color w:val="A6A6A6" w:themeColor="background1" w:themeShade="A6"/>
                <w:sz w:val="20"/>
                <w:szCs w:val="20"/>
              </w:rPr>
            </w:pPr>
            <w:r w:rsidRPr="00BC4D70">
              <w:rPr>
                <w:rFonts w:eastAsiaTheme="minorEastAsia"/>
                <w:color w:val="A6A6A6" w:themeColor="background1" w:themeShade="A6"/>
                <w:sz w:val="20"/>
                <w:szCs w:val="20"/>
              </w:rPr>
              <w:t>Dropped after 2015 annual report</w:t>
            </w:r>
          </w:p>
        </w:tc>
      </w:tr>
      <w:tr w:rsidR="00D97E3B" w:rsidRPr="006F32BD" w14:paraId="60873E0B" w14:textId="77777777" w:rsidTr="001D093F">
        <w:tc>
          <w:tcPr>
            <w:tcW w:w="596" w:type="pct"/>
            <w:shd w:val="clear" w:color="auto" w:fill="BFBFBF" w:themeFill="background1" w:themeFillShade="BF"/>
          </w:tcPr>
          <w:p w14:paraId="2ADF8DA2" w14:textId="77777777" w:rsidR="00D97E3B" w:rsidRPr="00BC4D70" w:rsidRDefault="00D97E3B" w:rsidP="00873066">
            <w:pPr>
              <w:spacing w:before="60" w:after="60"/>
              <w:rPr>
                <w:rFonts w:eastAsia="SimSun"/>
                <w:b/>
                <w:color w:val="auto"/>
                <w:sz w:val="20"/>
                <w:szCs w:val="20"/>
              </w:rPr>
            </w:pPr>
            <w:r w:rsidRPr="00BC4D70">
              <w:rPr>
                <w:rFonts w:eastAsia="SimSun"/>
                <w:b/>
                <w:color w:val="auto"/>
                <w:sz w:val="20"/>
                <w:szCs w:val="20"/>
              </w:rPr>
              <w:t xml:space="preserve">Output 10 </w:t>
            </w:r>
          </w:p>
        </w:tc>
        <w:tc>
          <w:tcPr>
            <w:tcW w:w="4404" w:type="pct"/>
            <w:gridSpan w:val="4"/>
            <w:shd w:val="clear" w:color="auto" w:fill="BFBFBF" w:themeFill="background1" w:themeFillShade="BF"/>
          </w:tcPr>
          <w:p w14:paraId="5D494FCC" w14:textId="36DD5A0B" w:rsidR="00D97E3B" w:rsidRPr="00BC4D70" w:rsidRDefault="00D97E3B" w:rsidP="00873066">
            <w:pPr>
              <w:spacing w:before="60" w:after="60"/>
              <w:rPr>
                <w:b/>
                <w:color w:val="auto"/>
                <w:sz w:val="20"/>
                <w:szCs w:val="20"/>
              </w:rPr>
            </w:pPr>
            <w:r w:rsidRPr="00BC4D70">
              <w:rPr>
                <w:rFonts w:eastAsia="Calibri"/>
                <w:b/>
                <w:color w:val="auto"/>
                <w:sz w:val="20"/>
                <w:szCs w:val="20"/>
              </w:rPr>
              <w:t xml:space="preserve">Plan for synergy with other </w:t>
            </w:r>
            <w:r w:rsidR="00B55E9C">
              <w:rPr>
                <w:rFonts w:eastAsia="Calibri"/>
                <w:b/>
                <w:color w:val="auto"/>
                <w:sz w:val="20"/>
                <w:szCs w:val="20"/>
              </w:rPr>
              <w:t>Unitaid</w:t>
            </w:r>
            <w:r w:rsidRPr="00BC4D70">
              <w:rPr>
                <w:rFonts w:eastAsia="Calibri"/>
                <w:b/>
                <w:color w:val="auto"/>
                <w:sz w:val="20"/>
                <w:szCs w:val="20"/>
              </w:rPr>
              <w:t xml:space="preserve"> diagnostics projects</w:t>
            </w:r>
          </w:p>
        </w:tc>
      </w:tr>
      <w:tr w:rsidR="00D97E3B" w:rsidRPr="006F32BD" w14:paraId="0F216604" w14:textId="77777777" w:rsidTr="001D093F">
        <w:tc>
          <w:tcPr>
            <w:tcW w:w="596" w:type="pct"/>
            <w:shd w:val="clear" w:color="auto" w:fill="auto"/>
          </w:tcPr>
          <w:p w14:paraId="3F640C48"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O.10.1</w:t>
            </w:r>
          </w:p>
        </w:tc>
        <w:tc>
          <w:tcPr>
            <w:tcW w:w="2074" w:type="pct"/>
            <w:shd w:val="clear" w:color="auto" w:fill="auto"/>
          </w:tcPr>
          <w:p w14:paraId="7C37E94A" w14:textId="77777777" w:rsidR="00D97E3B" w:rsidRPr="00BC4D70" w:rsidRDefault="00D97E3B" w:rsidP="00873066">
            <w:pPr>
              <w:spacing w:before="60" w:after="60"/>
              <w:rPr>
                <w:rFonts w:eastAsia="Calibri"/>
                <w:color w:val="A6A6A6" w:themeColor="background1" w:themeShade="A6"/>
                <w:sz w:val="20"/>
                <w:szCs w:val="20"/>
              </w:rPr>
            </w:pPr>
            <w:r w:rsidRPr="00BC4D70">
              <w:rPr>
                <w:rFonts w:eastAsia="Calibri"/>
                <w:color w:val="A6A6A6" w:themeColor="background1" w:themeShade="A6"/>
                <w:sz w:val="20"/>
                <w:szCs w:val="20"/>
              </w:rPr>
              <w:t>% action points from initial synergy list with documented follow-up</w:t>
            </w:r>
          </w:p>
        </w:tc>
        <w:tc>
          <w:tcPr>
            <w:tcW w:w="865" w:type="pct"/>
            <w:shd w:val="clear" w:color="auto" w:fill="auto"/>
          </w:tcPr>
          <w:p w14:paraId="07FDB280"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100%</w:t>
            </w:r>
          </w:p>
        </w:tc>
        <w:tc>
          <w:tcPr>
            <w:tcW w:w="1465" w:type="pct"/>
            <w:gridSpan w:val="2"/>
            <w:shd w:val="clear" w:color="auto" w:fill="auto"/>
          </w:tcPr>
          <w:p w14:paraId="2AB57A4B" w14:textId="77777777" w:rsidR="00D97E3B" w:rsidRPr="00BC4D70" w:rsidRDefault="00D97E3B" w:rsidP="00873066">
            <w:pPr>
              <w:pStyle w:val="CEPATabletext"/>
              <w:spacing w:before="0" w:after="0"/>
              <w:rPr>
                <w:rFonts w:eastAsiaTheme="minorEastAsia"/>
                <w:color w:val="A6A6A6" w:themeColor="background1" w:themeShade="A6"/>
                <w:sz w:val="20"/>
                <w:szCs w:val="20"/>
              </w:rPr>
            </w:pPr>
            <w:r w:rsidRPr="00BC4D70">
              <w:rPr>
                <w:rFonts w:eastAsiaTheme="minorEastAsia"/>
                <w:color w:val="A6A6A6" w:themeColor="background1" w:themeShade="A6"/>
                <w:sz w:val="20"/>
                <w:szCs w:val="20"/>
              </w:rPr>
              <w:t>Dropped after 2015 annual report</w:t>
            </w:r>
          </w:p>
        </w:tc>
      </w:tr>
      <w:tr w:rsidR="00D97E3B" w:rsidRPr="006F32BD" w14:paraId="5309AF35" w14:textId="77777777" w:rsidTr="001D093F">
        <w:tc>
          <w:tcPr>
            <w:tcW w:w="596" w:type="pct"/>
            <w:shd w:val="clear" w:color="auto" w:fill="auto"/>
          </w:tcPr>
          <w:p w14:paraId="0F5367F8" w14:textId="77777777" w:rsidR="00D97E3B" w:rsidRPr="00BC4D70" w:rsidRDefault="00D97E3B" w:rsidP="00873066">
            <w:pPr>
              <w:spacing w:before="60" w:after="60"/>
              <w:rPr>
                <w:rFonts w:eastAsia="SimSun"/>
                <w:color w:val="A6A6A6" w:themeColor="background1" w:themeShade="A6"/>
                <w:sz w:val="20"/>
                <w:szCs w:val="20"/>
              </w:rPr>
            </w:pPr>
            <w:r w:rsidRPr="00BC4D70">
              <w:rPr>
                <w:rFonts w:eastAsia="SimSun"/>
                <w:color w:val="A6A6A6" w:themeColor="background1" w:themeShade="A6"/>
                <w:sz w:val="20"/>
                <w:szCs w:val="20"/>
              </w:rPr>
              <w:t>O.10.2</w:t>
            </w:r>
          </w:p>
        </w:tc>
        <w:tc>
          <w:tcPr>
            <w:tcW w:w="2074" w:type="pct"/>
            <w:shd w:val="clear" w:color="auto" w:fill="auto"/>
          </w:tcPr>
          <w:p w14:paraId="0DC857A2" w14:textId="77777777" w:rsidR="00D97E3B" w:rsidRPr="00BC4D70" w:rsidRDefault="00D97E3B" w:rsidP="00873066">
            <w:pPr>
              <w:spacing w:before="60" w:after="60"/>
              <w:jc w:val="left"/>
              <w:rPr>
                <w:rFonts w:eastAsia="Calibri"/>
                <w:color w:val="A6A6A6" w:themeColor="background1" w:themeShade="A6"/>
                <w:sz w:val="20"/>
                <w:szCs w:val="20"/>
              </w:rPr>
            </w:pPr>
            <w:r w:rsidRPr="00BC4D70">
              <w:rPr>
                <w:rFonts w:eastAsia="Calibri"/>
                <w:color w:val="A6A6A6" w:themeColor="background1" w:themeShade="A6"/>
                <w:sz w:val="20"/>
                <w:szCs w:val="20"/>
              </w:rPr>
              <w:t># regularly scheduled meetings conducted</w:t>
            </w:r>
          </w:p>
        </w:tc>
        <w:tc>
          <w:tcPr>
            <w:tcW w:w="865" w:type="pct"/>
            <w:shd w:val="clear" w:color="auto" w:fill="auto"/>
          </w:tcPr>
          <w:p w14:paraId="59D6A0B7"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Quarterly meetings</w:t>
            </w:r>
          </w:p>
        </w:tc>
        <w:tc>
          <w:tcPr>
            <w:tcW w:w="1465" w:type="pct"/>
            <w:gridSpan w:val="2"/>
            <w:shd w:val="clear" w:color="auto" w:fill="auto"/>
          </w:tcPr>
          <w:p w14:paraId="19E07588" w14:textId="77777777" w:rsidR="00D97E3B" w:rsidRPr="00BC4D70" w:rsidRDefault="00D97E3B" w:rsidP="00873066">
            <w:pPr>
              <w:spacing w:before="60" w:after="60"/>
              <w:rPr>
                <w:color w:val="A6A6A6" w:themeColor="background1" w:themeShade="A6"/>
                <w:sz w:val="20"/>
                <w:szCs w:val="20"/>
              </w:rPr>
            </w:pPr>
            <w:r w:rsidRPr="00BC4D70">
              <w:rPr>
                <w:color w:val="A6A6A6" w:themeColor="background1" w:themeShade="A6"/>
                <w:sz w:val="20"/>
                <w:szCs w:val="20"/>
              </w:rPr>
              <w:t>Dropped after 2015 annual report</w:t>
            </w:r>
          </w:p>
        </w:tc>
      </w:tr>
    </w:tbl>
    <w:p w14:paraId="35936510" w14:textId="77777777" w:rsidR="00D97E3B" w:rsidRDefault="00D97E3B" w:rsidP="00D97E3B">
      <w:pPr>
        <w:pStyle w:val="CEPAReportText"/>
      </w:pPr>
    </w:p>
    <w:p w14:paraId="7298E45C" w14:textId="77777777" w:rsidR="00D97E3B" w:rsidRDefault="00D97E3B" w:rsidP="00D97E3B">
      <w:pPr>
        <w:spacing w:after="160" w:line="259" w:lineRule="auto"/>
        <w:jc w:val="left"/>
        <w:rPr>
          <w:rFonts w:asciiTheme="minorHAnsi" w:eastAsiaTheme="majorEastAsia" w:hAnsiTheme="minorHAnsi" w:cstheme="majorBidi"/>
          <w:b/>
          <w:iCs/>
          <w:smallCaps/>
          <w:sz w:val="28"/>
        </w:rPr>
      </w:pPr>
      <w:r>
        <w:br w:type="page"/>
      </w:r>
    </w:p>
    <w:p w14:paraId="6E7D9D8C" w14:textId="7319E3E5" w:rsidR="00D97E3B" w:rsidRDefault="00D97E3B" w:rsidP="00D97E3B">
      <w:pPr>
        <w:pStyle w:val="Heading7"/>
        <w:numPr>
          <w:ilvl w:val="0"/>
          <w:numId w:val="3"/>
        </w:numPr>
      </w:pPr>
      <w:bookmarkStart w:id="692" w:name="_Toc500445662"/>
      <w:bookmarkStart w:id="693" w:name="_Toc500503142"/>
      <w:bookmarkStart w:id="694" w:name="_Toc500508123"/>
      <w:bookmarkStart w:id="695" w:name="_Toc500512851"/>
      <w:bookmarkStart w:id="696" w:name="_Toc500517777"/>
      <w:bookmarkStart w:id="697" w:name="_Toc500519592"/>
      <w:bookmarkStart w:id="698" w:name="_Toc500524439"/>
      <w:bookmarkStart w:id="699" w:name="_Toc506417411"/>
      <w:bookmarkStart w:id="700" w:name="_Toc515359235"/>
      <w:r>
        <w:t>Project procurement overview</w:t>
      </w:r>
      <w:bookmarkEnd w:id="692"/>
      <w:bookmarkEnd w:id="693"/>
      <w:bookmarkEnd w:id="694"/>
      <w:bookmarkEnd w:id="695"/>
      <w:bookmarkEnd w:id="696"/>
      <w:bookmarkEnd w:id="697"/>
      <w:bookmarkEnd w:id="698"/>
      <w:bookmarkEnd w:id="699"/>
      <w:bookmarkEnd w:id="700"/>
    </w:p>
    <w:p w14:paraId="2C375CC4" w14:textId="602D3400" w:rsidR="00816C75" w:rsidRPr="00816C75" w:rsidRDefault="00816C75" w:rsidP="00816C75">
      <w:pPr>
        <w:pStyle w:val="CEPAReportText"/>
      </w:pPr>
      <w:r>
        <w:t xml:space="preserve">This annex provides an overview of the procurement activities conducted under the grant, based on the information included in the annual progress reports. </w:t>
      </w:r>
    </w:p>
    <w:p w14:paraId="388109B9" w14:textId="00B05148" w:rsidR="001A06BB" w:rsidRDefault="00D97E3B" w:rsidP="00D5687B">
      <w:pPr>
        <w:pStyle w:val="Heading8"/>
      </w:pPr>
      <w:r>
        <w:t>Commodity Costs By Country</w:t>
      </w:r>
    </w:p>
    <w:p w14:paraId="190CCA4B" w14:textId="2DBA37F0" w:rsidR="00924BB9" w:rsidRPr="00190E40" w:rsidRDefault="00AD405F" w:rsidP="00864F0B">
      <w:pPr>
        <w:pStyle w:val="CEPADiagramLabel"/>
      </w:pPr>
      <w:r>
        <w:t>Figure</w:t>
      </w:r>
      <w:r w:rsidR="00924BB9">
        <w:t xml:space="preserve"> </w:t>
      </w:r>
      <w:r w:rsidR="00E262D5">
        <w:t>F</w:t>
      </w:r>
      <w:r w:rsidR="00D3489C">
        <w:t>.</w:t>
      </w:r>
      <w:r w:rsidR="00BF391F">
        <w:fldChar w:fldCharType="begin"/>
      </w:r>
      <w:r w:rsidR="00BF391F">
        <w:instrText xml:space="preserve"> SEQ Table \* ARABIC \s 1 </w:instrText>
      </w:r>
      <w:r w:rsidR="00BF391F">
        <w:fldChar w:fldCharType="separate"/>
      </w:r>
      <w:r w:rsidR="00E21B7F">
        <w:rPr>
          <w:noProof/>
        </w:rPr>
        <w:t>1</w:t>
      </w:r>
      <w:r w:rsidR="00BF391F">
        <w:rPr>
          <w:noProof/>
        </w:rPr>
        <w:fldChar w:fldCharType="end"/>
      </w:r>
      <w:r w:rsidR="00924BB9">
        <w:t>: Commodity costs (including freight, maintenance and rehabilitation costs, USD)</w:t>
      </w:r>
      <w:r w:rsidRPr="00190E40">
        <w:t xml:space="preserve"> </w:t>
      </w:r>
    </w:p>
    <w:p w14:paraId="158527E7" w14:textId="6C25433A" w:rsidR="00D97E3B" w:rsidRDefault="00AD405F" w:rsidP="00AD405F">
      <w:pPr>
        <w:pStyle w:val="CEPADiagramLabel"/>
      </w:pPr>
      <w:r>
        <w:rPr>
          <w:noProof/>
          <w:lang w:val="en-US"/>
        </w:rPr>
        <w:drawing>
          <wp:inline distT="0" distB="0" distL="0" distR="0" wp14:anchorId="790045A0" wp14:editId="4444006F">
            <wp:extent cx="5194300" cy="2990850"/>
            <wp:effectExtent l="0" t="0" r="6350" b="0"/>
            <wp:docPr id="17" name="Chart 17">
              <a:extLst xmlns:a="http://schemas.openxmlformats.org/drawingml/2006/main">
                <a:ext uri="{FF2B5EF4-FFF2-40B4-BE49-F238E27FC236}">
                  <a16:creationId xmlns:a16="http://schemas.microsoft.com/office/drawing/2014/main" id="{660CB3D3-BB5C-43EF-A514-60AF3EEBD3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7AD1721" w14:textId="77777777" w:rsidR="00D97E3B" w:rsidRDefault="00D97E3B" w:rsidP="00D5687B">
      <w:pPr>
        <w:pStyle w:val="Heading8"/>
      </w:pPr>
      <w:r>
        <w:t>Commodity Costs By Manufacturer</w:t>
      </w:r>
    </w:p>
    <w:p w14:paraId="435F0F55" w14:textId="0CA28CE2" w:rsidR="00D3489C" w:rsidRDefault="00A17173" w:rsidP="00A17173">
      <w:pPr>
        <w:pStyle w:val="CEPADiagramLabel"/>
      </w:pPr>
      <w:r>
        <w:t xml:space="preserve">Figure </w:t>
      </w:r>
      <w:r w:rsidR="00E262D5">
        <w:t>F</w:t>
      </w:r>
      <w:r>
        <w:t>.</w:t>
      </w:r>
      <w:r w:rsidR="00BF391F">
        <w:fldChar w:fldCharType="begin"/>
      </w:r>
      <w:r w:rsidR="00BF391F">
        <w:instrText xml:space="preserve"> SEQ Table \* ARABIC \s 1 </w:instrText>
      </w:r>
      <w:r w:rsidR="00BF391F">
        <w:fldChar w:fldCharType="separate"/>
      </w:r>
      <w:r w:rsidR="00E21B7F">
        <w:rPr>
          <w:noProof/>
        </w:rPr>
        <w:t>2</w:t>
      </w:r>
      <w:r w:rsidR="00BF391F">
        <w:rPr>
          <w:noProof/>
        </w:rPr>
        <w:fldChar w:fldCharType="end"/>
      </w:r>
      <w:r>
        <w:t>: Diagnostics Expenditure, by Manufacturer</w:t>
      </w:r>
    </w:p>
    <w:p w14:paraId="65BE4DC4" w14:textId="73DC44FC" w:rsidR="00A17173" w:rsidRDefault="00A17173" w:rsidP="00D3489C">
      <w:pPr>
        <w:pStyle w:val="CEPAReportText"/>
      </w:pPr>
      <w:r>
        <w:rPr>
          <w:noProof/>
          <w:lang w:val="en-US"/>
        </w:rPr>
        <w:drawing>
          <wp:inline distT="0" distB="0" distL="0" distR="0" wp14:anchorId="644F659D" wp14:editId="66863958">
            <wp:extent cx="5092700" cy="2743200"/>
            <wp:effectExtent l="0" t="0" r="0" b="0"/>
            <wp:docPr id="22" name="Chart 22">
              <a:extLst xmlns:a="http://schemas.openxmlformats.org/drawingml/2006/main">
                <a:ext uri="{FF2B5EF4-FFF2-40B4-BE49-F238E27FC236}">
                  <a16:creationId xmlns:a16="http://schemas.microsoft.com/office/drawing/2014/main" id="{AF178A14-8873-4ACE-943B-D296F81AD3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14328A9" w14:textId="77777777" w:rsidR="00D3489C" w:rsidRPr="00D3489C" w:rsidRDefault="00D3489C" w:rsidP="00D3489C">
      <w:pPr>
        <w:pStyle w:val="CEPATabletext"/>
      </w:pPr>
    </w:p>
    <w:p w14:paraId="4189CBBD" w14:textId="26997DD1" w:rsidR="00736E7E" w:rsidRDefault="00736E7E" w:rsidP="00D3489C">
      <w:pPr>
        <w:pStyle w:val="CEPATabletext"/>
      </w:pPr>
    </w:p>
    <w:p w14:paraId="6BE47C87" w14:textId="77777777" w:rsidR="00D97E3B" w:rsidRDefault="00D97E3B" w:rsidP="00D97E3B"/>
    <w:p w14:paraId="09BB8276" w14:textId="77777777" w:rsidR="00D97E3B" w:rsidRDefault="00D97E3B" w:rsidP="00D5687B">
      <w:pPr>
        <w:pStyle w:val="Heading8"/>
      </w:pPr>
      <w:r>
        <w:t>Areas of Success and Challenges</w:t>
      </w:r>
    </w:p>
    <w:p w14:paraId="7988A734" w14:textId="77777777" w:rsidR="00D97E3B" w:rsidRPr="000F77FD" w:rsidRDefault="00D97E3B" w:rsidP="007D198D">
      <w:pPr>
        <w:pStyle w:val="Heading9"/>
        <w:numPr>
          <w:ilvl w:val="0"/>
          <w:numId w:val="0"/>
        </w:numPr>
        <w:rPr>
          <w:i/>
        </w:rPr>
      </w:pPr>
      <w:r w:rsidRPr="007D198D">
        <w:rPr>
          <w:rFonts w:ascii="Calibri" w:hAnsi="Calibri"/>
          <w:b w:val="0"/>
          <w:i/>
        </w:rPr>
        <w:t>Delays</w:t>
      </w:r>
    </w:p>
    <w:p w14:paraId="0A837AE4" w14:textId="12141B63" w:rsidR="00D97E3B" w:rsidRDefault="00D97E3B" w:rsidP="00F24538">
      <w:pPr>
        <w:pStyle w:val="CEPABullets"/>
      </w:pPr>
      <w:r>
        <w:t>Procurement delays were explained by</w:t>
      </w:r>
      <w:r w:rsidR="00ED2F78">
        <w:t>:</w:t>
      </w:r>
      <w:r>
        <w:t xml:space="preserve"> (i) delays in certification (specifically, slow-processed ER</w:t>
      </w:r>
      <w:r w:rsidR="00516683">
        <w:t>PD</w:t>
      </w:r>
      <w:r>
        <w:t>), (ii) commercial unavailability</w:t>
      </w:r>
      <w:r w:rsidR="00516683">
        <w:t>,</w:t>
      </w:r>
      <w:r>
        <w:t xml:space="preserve"> and (iii) technical issues with platforms.</w:t>
      </w:r>
      <w:r>
        <w:rPr>
          <w:rStyle w:val="FootnoteReference"/>
        </w:rPr>
        <w:footnoteReference w:id="109"/>
      </w:r>
    </w:p>
    <w:p w14:paraId="710E4030" w14:textId="77777777" w:rsidR="00D97E3B" w:rsidRDefault="00D97E3B" w:rsidP="00F24538">
      <w:pPr>
        <w:pStyle w:val="CEPABullets"/>
      </w:pPr>
      <w:r>
        <w:t>In 2013 and 2014:</w:t>
      </w:r>
    </w:p>
    <w:p w14:paraId="4AC15697" w14:textId="77777777" w:rsidR="00D97E3B" w:rsidRDefault="00D97E3B" w:rsidP="00F24538">
      <w:pPr>
        <w:pStyle w:val="CEPABullets"/>
        <w:numPr>
          <w:ilvl w:val="1"/>
          <w:numId w:val="1"/>
        </w:numPr>
      </w:pPr>
      <w:r w:rsidRPr="00961333">
        <w:rPr>
          <w:b/>
        </w:rPr>
        <w:t>POC VL devices</w:t>
      </w:r>
      <w:r>
        <w:t xml:space="preserve"> were more affected by delays than lab-based VL platforms in the early stages of the grant.</w:t>
      </w:r>
      <w:r w:rsidRPr="004E7D5A">
        <w:rPr>
          <w:vertAlign w:val="superscript"/>
        </w:rPr>
        <w:footnoteReference w:id="110"/>
      </w:r>
    </w:p>
    <w:p w14:paraId="54B347DA" w14:textId="4B1BC5AD" w:rsidR="00D97E3B" w:rsidRDefault="00D97E3B" w:rsidP="00F24538">
      <w:pPr>
        <w:pStyle w:val="CEPABullets"/>
        <w:numPr>
          <w:ilvl w:val="1"/>
          <w:numId w:val="1"/>
        </w:numPr>
      </w:pPr>
      <w:r>
        <w:t>These delays were further impacted by the</w:t>
      </w:r>
      <w:r w:rsidRPr="00727672">
        <w:t xml:space="preserve"> update of </w:t>
      </w:r>
      <w:r w:rsidR="00B55E9C">
        <w:t>Unitaid</w:t>
      </w:r>
      <w:r w:rsidRPr="00727672">
        <w:t xml:space="preserve">’s quality policy, restricting procurement to products with </w:t>
      </w:r>
      <w:r w:rsidR="007B10C8">
        <w:t>Stringent Regulatory Authority</w:t>
      </w:r>
      <w:r w:rsidR="00516683">
        <w:t xml:space="preserve"> approval</w:t>
      </w:r>
      <w:r w:rsidRPr="00727672">
        <w:t>,</w:t>
      </w:r>
      <w:r w:rsidR="00516683">
        <w:t xml:space="preserve"> WHO</w:t>
      </w:r>
      <w:r w:rsidRPr="00727672">
        <w:t xml:space="preserve"> PQ or ERPD quality certification only.</w:t>
      </w:r>
      <w:r>
        <w:rPr>
          <w:rStyle w:val="FootnoteReference"/>
        </w:rPr>
        <w:footnoteReference w:id="111"/>
      </w:r>
    </w:p>
    <w:p w14:paraId="7CD84E88" w14:textId="77777777" w:rsidR="00D97E3B" w:rsidRDefault="00D97E3B" w:rsidP="00F24538">
      <w:pPr>
        <w:pStyle w:val="CEPABullets"/>
      </w:pPr>
      <w:r>
        <w:t>In 2015:</w:t>
      </w:r>
    </w:p>
    <w:p w14:paraId="1149BD88" w14:textId="1B0899F5" w:rsidR="00D97E3B" w:rsidRDefault="00D97E3B" w:rsidP="00F24538">
      <w:pPr>
        <w:pStyle w:val="CEPABullets"/>
        <w:numPr>
          <w:ilvl w:val="1"/>
          <w:numId w:val="1"/>
        </w:numPr>
      </w:pPr>
      <w:r>
        <w:t xml:space="preserve">The Annual Report </w:t>
      </w:r>
      <w:r w:rsidR="00516683">
        <w:t xml:space="preserve">reported </w:t>
      </w:r>
      <w:r>
        <w:t xml:space="preserve">delays in 2015 </w:t>
      </w:r>
      <w:r w:rsidR="00516683">
        <w:t>with regard to</w:t>
      </w:r>
      <w:r>
        <w:t xml:space="preserve"> certain technologies (</w:t>
      </w:r>
      <w:r w:rsidR="00516683">
        <w:t xml:space="preserve">notably the </w:t>
      </w:r>
      <w:r>
        <w:t>Abbott platform and Alere Q platform), but overall it attribute</w:t>
      </w:r>
      <w:r w:rsidR="00516683">
        <w:t>d</w:t>
      </w:r>
      <w:r>
        <w:t xml:space="preserve"> missed targets on VL testing (150,000 VL tests delivered in 2015 vs. 170,000 VL tests planned for 2015) to </w:t>
      </w:r>
      <w:r>
        <w:rPr>
          <w:b/>
        </w:rPr>
        <w:t>delays in 2013 and 2014</w:t>
      </w:r>
      <w:r>
        <w:t>.</w:t>
      </w:r>
      <w:r>
        <w:rPr>
          <w:rStyle w:val="FootnoteReference"/>
        </w:rPr>
        <w:footnoteReference w:id="112"/>
      </w:r>
    </w:p>
    <w:p w14:paraId="54F8C347" w14:textId="1D5884BF" w:rsidR="00D97E3B" w:rsidRDefault="007D35EA" w:rsidP="00F24538">
      <w:pPr>
        <w:pStyle w:val="CEPABullets"/>
        <w:numPr>
          <w:ilvl w:val="1"/>
          <w:numId w:val="1"/>
        </w:numPr>
      </w:pPr>
      <w:r>
        <w:t>The l</w:t>
      </w:r>
      <w:r w:rsidR="00D97E3B">
        <w:t xml:space="preserve">arge delays </w:t>
      </w:r>
      <w:r w:rsidR="00516683">
        <w:t>with</w:t>
      </w:r>
      <w:r w:rsidR="00D97E3B">
        <w:t xml:space="preserve"> the Abbott platform (SAMBA and SAMBA II)</w:t>
      </w:r>
      <w:r>
        <w:t xml:space="preserve">, </w:t>
      </w:r>
      <w:r w:rsidR="00D97E3B">
        <w:t>partly caused by delays in receiving WHO PQ</w:t>
      </w:r>
      <w:r w:rsidR="00D97E3B">
        <w:rPr>
          <w:rStyle w:val="FootnoteReference"/>
        </w:rPr>
        <w:footnoteReference w:id="113"/>
      </w:r>
      <w:r>
        <w:t xml:space="preserve">, </w:t>
      </w:r>
      <w:r w:rsidR="00D97E3B">
        <w:t>significantly affected programme activities in Mozambique, Uganda and the DRC.</w:t>
      </w:r>
      <w:r w:rsidR="00D97E3B">
        <w:rPr>
          <w:rStyle w:val="FootnoteReference"/>
        </w:rPr>
        <w:footnoteReference w:id="114"/>
      </w:r>
    </w:p>
    <w:p w14:paraId="54592169" w14:textId="77777777" w:rsidR="00D97E3B" w:rsidRDefault="00D97E3B" w:rsidP="00F24538">
      <w:pPr>
        <w:pStyle w:val="CEPABullets"/>
        <w:numPr>
          <w:ilvl w:val="1"/>
          <w:numId w:val="1"/>
        </w:numPr>
      </w:pPr>
      <w:r>
        <w:t>The installation of an Abbott platform in Mozambique had been planned for June 2015 but was delayed beyond 2015 due to delays in receiving the platform from the manufacturer.</w:t>
      </w:r>
      <w:r>
        <w:rPr>
          <w:rStyle w:val="FootnoteReference"/>
        </w:rPr>
        <w:footnoteReference w:id="115"/>
      </w:r>
    </w:p>
    <w:p w14:paraId="7A638C89" w14:textId="77777777" w:rsidR="00D97E3B" w:rsidRDefault="00D97E3B" w:rsidP="00147006">
      <w:pPr>
        <w:pStyle w:val="CEPABullets"/>
      </w:pPr>
      <w:r>
        <w:t>In 2016:</w:t>
      </w:r>
    </w:p>
    <w:p w14:paraId="58136A57" w14:textId="67E95E9D" w:rsidR="00D97E3B" w:rsidRDefault="00D97E3B" w:rsidP="00147006">
      <w:pPr>
        <w:pStyle w:val="CEPABullets"/>
        <w:numPr>
          <w:ilvl w:val="1"/>
          <w:numId w:val="1"/>
        </w:numPr>
      </w:pPr>
      <w:r>
        <w:t xml:space="preserve">With the exception of POC EID (described further </w:t>
      </w:r>
      <w:r w:rsidR="00465071">
        <w:t>below</w:t>
      </w:r>
      <w:r>
        <w:t xml:space="preserve">), there were no major reported procurement delays in 2016, although there were other operational challenges (insufficient HR, technical problems) which led to sub-optimal use of </w:t>
      </w:r>
      <w:r w:rsidR="004B535C">
        <w:t xml:space="preserve">the project </w:t>
      </w:r>
      <w:r>
        <w:t>VL and EID platforms.</w:t>
      </w:r>
      <w:r>
        <w:rPr>
          <w:rStyle w:val="FootnoteReference"/>
        </w:rPr>
        <w:footnoteReference w:id="116"/>
      </w:r>
    </w:p>
    <w:p w14:paraId="7BE36E22" w14:textId="2E930326" w:rsidR="00D97E3B" w:rsidRDefault="00D97E3B" w:rsidP="00147006">
      <w:pPr>
        <w:pStyle w:val="CEPABullets"/>
        <w:numPr>
          <w:ilvl w:val="1"/>
          <w:numId w:val="1"/>
        </w:numPr>
      </w:pPr>
      <w:r>
        <w:t>Testing of POC EID in South Africa</w:t>
      </w:r>
      <w:r w:rsidRPr="005A7BF7">
        <w:t xml:space="preserve"> </w:t>
      </w:r>
      <w:r>
        <w:t xml:space="preserve">was delayed by </w:t>
      </w:r>
      <w:r w:rsidRPr="005A7BF7">
        <w:t>more than a year</w:t>
      </w:r>
      <w:r w:rsidR="005911E0">
        <w:t xml:space="preserve">, </w:t>
      </w:r>
      <w:r w:rsidRPr="005A7BF7">
        <w:t>mainly because manufacturers were unabl</w:t>
      </w:r>
      <w:r>
        <w:t xml:space="preserve">e to provide POC EID platforms. It was eventually completed in 2016 </w:t>
      </w:r>
      <w:r w:rsidR="005911E0">
        <w:t xml:space="preserve">and involved </w:t>
      </w:r>
      <w:r>
        <w:t>an assessment of</w:t>
      </w:r>
      <w:r w:rsidRPr="005A7BF7">
        <w:t xml:space="preserve"> </w:t>
      </w:r>
      <w:r>
        <w:t xml:space="preserve">the </w:t>
      </w:r>
      <w:r w:rsidRPr="005A7BF7">
        <w:t xml:space="preserve">advantages of </w:t>
      </w:r>
      <w:r w:rsidRPr="008325DD">
        <w:rPr>
          <w:b/>
        </w:rPr>
        <w:t>POC EID</w:t>
      </w:r>
      <w:r w:rsidRPr="005A7BF7">
        <w:t xml:space="preserve"> with the Alere Q platform </w:t>
      </w:r>
      <w:r w:rsidR="005911E0">
        <w:t>compared to</w:t>
      </w:r>
      <w:r w:rsidR="005911E0" w:rsidRPr="005A7BF7">
        <w:t xml:space="preserve"> </w:t>
      </w:r>
      <w:r w:rsidRPr="005A7BF7">
        <w:t>lab</w:t>
      </w:r>
      <w:r w:rsidR="005911E0">
        <w:t>-</w:t>
      </w:r>
      <w:r w:rsidRPr="005A7BF7">
        <w:t xml:space="preserve">based VL with the </w:t>
      </w:r>
      <w:r w:rsidR="00B61C4F">
        <w:t>MOH</w:t>
      </w:r>
      <w:r w:rsidRPr="005A7BF7">
        <w:t>’s Roche technology</w:t>
      </w:r>
      <w:r w:rsidR="005911E0">
        <w:t xml:space="preserve">. </w:t>
      </w:r>
      <w:r w:rsidRPr="005A7BF7">
        <w:t xml:space="preserve"> </w:t>
      </w:r>
    </w:p>
    <w:p w14:paraId="5F050915" w14:textId="77777777" w:rsidR="00D97E3B" w:rsidRDefault="00D97E3B" w:rsidP="00147006">
      <w:pPr>
        <w:pStyle w:val="CEPABullets"/>
      </w:pPr>
      <w:r>
        <w:t xml:space="preserve">In 2017: </w:t>
      </w:r>
    </w:p>
    <w:p w14:paraId="5F3A58D9" w14:textId="232A0932" w:rsidR="00D97E3B" w:rsidRDefault="00D97E3B" w:rsidP="00147006">
      <w:pPr>
        <w:pStyle w:val="CEPABullets"/>
        <w:numPr>
          <w:ilvl w:val="1"/>
          <w:numId w:val="1"/>
        </w:numPr>
      </w:pPr>
      <w:r>
        <w:t xml:space="preserve">Although MSF had planned to investigate the use of </w:t>
      </w:r>
      <w:r w:rsidRPr="00385CF6">
        <w:rPr>
          <w:b/>
        </w:rPr>
        <w:t>POC devices for</w:t>
      </w:r>
      <w:r>
        <w:t xml:space="preserve"> </w:t>
      </w:r>
      <w:r w:rsidRPr="00385CF6">
        <w:rPr>
          <w:b/>
        </w:rPr>
        <w:t>EID</w:t>
      </w:r>
      <w:r>
        <w:t xml:space="preserve"> from the start of the project, delays </w:t>
      </w:r>
      <w:r w:rsidR="00DE2AE2">
        <w:t>with</w:t>
      </w:r>
      <w:r>
        <w:t xml:space="preserve"> </w:t>
      </w:r>
      <w:r w:rsidR="0026448D">
        <w:t>the availability and approval of</w:t>
      </w:r>
      <w:r>
        <w:t xml:space="preserve"> EID devices led MSF to postpone some EID research beyond the grant period into 2017: one </w:t>
      </w:r>
      <w:r w:rsidR="000B520F">
        <w:t>study</w:t>
      </w:r>
      <w:r>
        <w:t xml:space="preserve"> in Uganda </w:t>
      </w:r>
      <w:r w:rsidR="00703F45">
        <w:t>o</w:t>
      </w:r>
      <w:r w:rsidR="000B520F">
        <w:t>n</w:t>
      </w:r>
      <w:r w:rsidR="00703F45">
        <w:t xml:space="preserve"> the SAMBA</w:t>
      </w:r>
      <w:r>
        <w:t xml:space="preserve"> II</w:t>
      </w:r>
      <w:r w:rsidR="00703F45">
        <w:t xml:space="preserve"> platform</w:t>
      </w:r>
      <w:r>
        <w:t xml:space="preserve"> and </w:t>
      </w:r>
      <w:r w:rsidR="00B539FD">
        <w:t xml:space="preserve">a second study </w:t>
      </w:r>
      <w:r>
        <w:t xml:space="preserve">in Swaziland </w:t>
      </w:r>
      <w:r w:rsidR="00A43DFC">
        <w:t>o</w:t>
      </w:r>
      <w:r w:rsidR="00B539FD">
        <w:t>n</w:t>
      </w:r>
      <w:r w:rsidR="00A43DFC">
        <w:t xml:space="preserve"> the </w:t>
      </w:r>
      <w:r>
        <w:t>Biocentric</w:t>
      </w:r>
      <w:r w:rsidR="00A43DFC">
        <w:t xml:space="preserve"> platform</w:t>
      </w:r>
      <w:r>
        <w:t>.</w:t>
      </w:r>
      <w:r>
        <w:rPr>
          <w:rStyle w:val="FootnoteReference"/>
        </w:rPr>
        <w:footnoteReference w:id="117"/>
      </w:r>
    </w:p>
    <w:p w14:paraId="3779695B" w14:textId="103C7D81" w:rsidR="00D97E3B" w:rsidRPr="00FC76A5" w:rsidRDefault="00D97E3B" w:rsidP="00FC76A5">
      <w:pPr>
        <w:pStyle w:val="CEPAReportText"/>
        <w:rPr>
          <w:i/>
        </w:rPr>
      </w:pPr>
      <w:r w:rsidRPr="00816C75">
        <w:rPr>
          <w:i/>
        </w:rPr>
        <w:t>Technical Problems</w:t>
      </w:r>
    </w:p>
    <w:p w14:paraId="47CB8919" w14:textId="4926A8CE" w:rsidR="00D97E3B" w:rsidRDefault="00D97E3B" w:rsidP="00FC76A5">
      <w:pPr>
        <w:pStyle w:val="CEPABullets"/>
      </w:pPr>
      <w:r>
        <w:t xml:space="preserve">There were reported </w:t>
      </w:r>
      <w:r w:rsidR="00D37196">
        <w:t xml:space="preserve">instances </w:t>
      </w:r>
      <w:r>
        <w:t xml:space="preserve">of </w:t>
      </w:r>
      <w:r>
        <w:rPr>
          <w:b/>
        </w:rPr>
        <w:t>t</w:t>
      </w:r>
      <w:r w:rsidRPr="00385CF6">
        <w:rPr>
          <w:b/>
        </w:rPr>
        <w:t>echnical problems</w:t>
      </w:r>
      <w:r>
        <w:rPr>
          <w:b/>
        </w:rPr>
        <w:t xml:space="preserve"> </w:t>
      </w:r>
      <w:r>
        <w:t xml:space="preserve">leading to </w:t>
      </w:r>
      <w:r w:rsidR="00FF370E">
        <w:t xml:space="preserve">less-than-efficient </w:t>
      </w:r>
      <w:r>
        <w:t>use of testing platforms</w:t>
      </w:r>
      <w:r w:rsidR="00FF370E">
        <w:t>. Examples included</w:t>
      </w:r>
      <w:r>
        <w:t>:</w:t>
      </w:r>
    </w:p>
    <w:p w14:paraId="66575108" w14:textId="537955CF" w:rsidR="00D97E3B" w:rsidRDefault="00FF370E" w:rsidP="00FC76A5">
      <w:pPr>
        <w:pStyle w:val="CEPABullets"/>
        <w:numPr>
          <w:ilvl w:val="1"/>
          <w:numId w:val="1"/>
        </w:numPr>
      </w:pPr>
      <w:r>
        <w:t>The</w:t>
      </w:r>
      <w:r w:rsidR="00D97E3B" w:rsidRPr="003F478B">
        <w:t xml:space="preserve"> </w:t>
      </w:r>
      <w:r w:rsidR="00516683">
        <w:t>BM</w:t>
      </w:r>
      <w:r w:rsidR="00516683" w:rsidRPr="003F478B">
        <w:t xml:space="preserve"> </w:t>
      </w:r>
      <w:r w:rsidR="00D97E3B" w:rsidRPr="003F478B">
        <w:t xml:space="preserve">platform suffered from numerous breakdowns </w:t>
      </w:r>
      <w:r>
        <w:t>in Mozambique. In 2014, these problems</w:t>
      </w:r>
      <w:r w:rsidR="00D97E3B" w:rsidRPr="003F478B">
        <w:t xml:space="preserve"> impacted the uptake of </w:t>
      </w:r>
      <w:r w:rsidR="007B10C8">
        <w:t>VL</w:t>
      </w:r>
      <w:r w:rsidR="00D97E3B" w:rsidRPr="003F478B">
        <w:t xml:space="preserve"> testing in Maputo to such a</w:t>
      </w:r>
      <w:r w:rsidR="00A174BF">
        <w:t xml:space="preserve">n extent </w:t>
      </w:r>
      <w:r w:rsidR="00D97E3B" w:rsidRPr="003F478B">
        <w:t>that</w:t>
      </w:r>
      <w:r w:rsidR="00D97E3B">
        <w:t xml:space="preserve"> MSF advised clinicians not to test patients, creating significant negative publicity.</w:t>
      </w:r>
      <w:r w:rsidR="00D97E3B">
        <w:rPr>
          <w:rStyle w:val="FootnoteReference"/>
        </w:rPr>
        <w:footnoteReference w:id="118"/>
      </w:r>
    </w:p>
    <w:p w14:paraId="3ECC8EA7" w14:textId="72088CFF" w:rsidR="00D97E3B" w:rsidRDefault="00381634" w:rsidP="00FC76A5">
      <w:pPr>
        <w:pStyle w:val="CEPABullets"/>
        <w:numPr>
          <w:ilvl w:val="1"/>
          <w:numId w:val="1"/>
        </w:numPr>
      </w:pPr>
      <w:r>
        <w:t>In</w:t>
      </w:r>
      <w:r w:rsidR="00D97E3B">
        <w:t xml:space="preserve"> Zimbabwe</w:t>
      </w:r>
      <w:r>
        <w:t>,</w:t>
      </w:r>
      <w:r w:rsidR="00D97E3B">
        <w:t xml:space="preserve"> problems with the </w:t>
      </w:r>
      <w:r w:rsidR="007B10C8">
        <w:t>BM</w:t>
      </w:r>
      <w:r w:rsidR="00D97E3B">
        <w:t xml:space="preserve"> </w:t>
      </w:r>
      <w:r w:rsidR="00D97E3B">
        <w:rPr>
          <w:rFonts w:asciiTheme="majorHAnsi" w:hAnsiTheme="majorHAnsi" w:cstheme="majorHAnsi"/>
          <w:lang w:val="en-US"/>
        </w:rPr>
        <w:t xml:space="preserve">service company </w:t>
      </w:r>
      <w:r>
        <w:rPr>
          <w:rFonts w:asciiTheme="majorHAnsi" w:hAnsiTheme="majorHAnsi" w:cstheme="majorHAnsi"/>
          <w:lang w:val="en-US"/>
        </w:rPr>
        <w:t>in 2016 reportedly</w:t>
      </w:r>
      <w:r w:rsidR="00D97E3B">
        <w:rPr>
          <w:rFonts w:asciiTheme="majorHAnsi" w:hAnsiTheme="majorHAnsi" w:cstheme="majorHAnsi"/>
          <w:lang w:val="en-US"/>
        </w:rPr>
        <w:t xml:space="preserve"> led to delays </w:t>
      </w:r>
      <w:r w:rsidR="00CB4664">
        <w:rPr>
          <w:rFonts w:asciiTheme="majorHAnsi" w:hAnsiTheme="majorHAnsi" w:cstheme="majorHAnsi"/>
          <w:lang w:val="en-US"/>
        </w:rPr>
        <w:t xml:space="preserve">with </w:t>
      </w:r>
      <w:r w:rsidR="00D97E3B">
        <w:rPr>
          <w:rFonts w:asciiTheme="majorHAnsi" w:hAnsiTheme="majorHAnsi" w:cstheme="majorHAnsi"/>
          <w:lang w:val="en-US"/>
        </w:rPr>
        <w:t xml:space="preserve">maintenance </w:t>
      </w:r>
      <w:r w:rsidR="00CB4664">
        <w:rPr>
          <w:rFonts w:asciiTheme="majorHAnsi" w:hAnsiTheme="majorHAnsi" w:cstheme="majorHAnsi"/>
          <w:lang w:val="en-US"/>
        </w:rPr>
        <w:t>activities for the</w:t>
      </w:r>
      <w:r w:rsidR="00D97E3B">
        <w:rPr>
          <w:rFonts w:asciiTheme="majorHAnsi" w:hAnsiTheme="majorHAnsi" w:cstheme="majorHAnsi"/>
          <w:lang w:val="en-US"/>
        </w:rPr>
        <w:t xml:space="preserve"> platform, reduc</w:t>
      </w:r>
      <w:r w:rsidR="00CB4664">
        <w:rPr>
          <w:rFonts w:asciiTheme="majorHAnsi" w:hAnsiTheme="majorHAnsi" w:cstheme="majorHAnsi"/>
          <w:lang w:val="en-US"/>
        </w:rPr>
        <w:t>ing</w:t>
      </w:r>
      <w:r w:rsidR="00D97E3B">
        <w:rPr>
          <w:rFonts w:asciiTheme="majorHAnsi" w:hAnsiTheme="majorHAnsi" w:cstheme="majorHAnsi"/>
          <w:lang w:val="en-US"/>
        </w:rPr>
        <w:t xml:space="preserve"> VL capacity and result</w:t>
      </w:r>
      <w:r w:rsidR="00CB4664">
        <w:rPr>
          <w:rFonts w:asciiTheme="majorHAnsi" w:hAnsiTheme="majorHAnsi" w:cstheme="majorHAnsi"/>
          <w:lang w:val="en-US"/>
        </w:rPr>
        <w:t>ing</w:t>
      </w:r>
      <w:r w:rsidR="00D97E3B">
        <w:rPr>
          <w:rFonts w:asciiTheme="majorHAnsi" w:hAnsiTheme="majorHAnsi" w:cstheme="majorHAnsi"/>
          <w:lang w:val="en-US"/>
        </w:rPr>
        <w:t xml:space="preserve"> in an annual average </w:t>
      </w:r>
      <w:r w:rsidR="004D0E48">
        <w:rPr>
          <w:rFonts w:asciiTheme="majorHAnsi" w:hAnsiTheme="majorHAnsi" w:cstheme="majorHAnsi"/>
          <w:lang w:val="en-US"/>
        </w:rPr>
        <w:t>TAT</w:t>
      </w:r>
      <w:r w:rsidR="00D97E3B">
        <w:rPr>
          <w:rFonts w:asciiTheme="majorHAnsi" w:hAnsiTheme="majorHAnsi" w:cstheme="majorHAnsi"/>
          <w:lang w:val="en-US"/>
        </w:rPr>
        <w:t xml:space="preserve"> of 46 days by the end of the year.</w:t>
      </w:r>
      <w:r w:rsidR="00D97E3B">
        <w:rPr>
          <w:rStyle w:val="FootnoteReference"/>
          <w:rFonts w:asciiTheme="majorHAnsi" w:hAnsiTheme="majorHAnsi" w:cstheme="majorHAnsi"/>
          <w:lang w:val="en-US"/>
        </w:rPr>
        <w:footnoteReference w:id="119"/>
      </w:r>
    </w:p>
    <w:p w14:paraId="488961FA" w14:textId="77777777" w:rsidR="00D97E3B" w:rsidRPr="00816C75" w:rsidRDefault="00D97E3B" w:rsidP="00816C75">
      <w:pPr>
        <w:pStyle w:val="CEPAReportText"/>
        <w:rPr>
          <w:i/>
        </w:rPr>
      </w:pPr>
      <w:r w:rsidRPr="00816C75">
        <w:rPr>
          <w:i/>
        </w:rPr>
        <w:t>Price Savings</w:t>
      </w:r>
    </w:p>
    <w:p w14:paraId="33E13CE7" w14:textId="5FE8513D" w:rsidR="00D97E3B" w:rsidRDefault="00A176FA" w:rsidP="00846486">
      <w:pPr>
        <w:pStyle w:val="CEPABullets"/>
      </w:pPr>
      <w:r>
        <w:t>Overall</w:t>
      </w:r>
      <w:r w:rsidR="00D97E3B">
        <w:t xml:space="preserve">, the MSF grant </w:t>
      </w:r>
      <w:r w:rsidR="00D97E3B" w:rsidRPr="002710E2">
        <w:rPr>
          <w:b/>
        </w:rPr>
        <w:t>did not exert significant downward pressure on prices</w:t>
      </w:r>
      <w:r w:rsidR="00D97E3B">
        <w:t xml:space="preserve"> for VL platforms.</w:t>
      </w:r>
      <w:r w:rsidR="00D97E3B">
        <w:rPr>
          <w:rStyle w:val="FootnoteReference"/>
        </w:rPr>
        <w:footnoteReference w:id="120"/>
      </w:r>
      <w:r w:rsidR="00D97E3B">
        <w:t xml:space="preserve"> </w:t>
      </w:r>
      <w:r w:rsidR="00F94B02">
        <w:t>I</w:t>
      </w:r>
      <w:r w:rsidR="00D97E3B" w:rsidRPr="00267155">
        <w:t xml:space="preserve">n September 2014, MSF estimated </w:t>
      </w:r>
      <w:r w:rsidR="00F94B02">
        <w:t xml:space="preserve">that </w:t>
      </w:r>
      <w:r w:rsidR="00D97E3B" w:rsidRPr="00267155">
        <w:t xml:space="preserve">the manufacturing costs of commonly used laboratory and POC VL tests </w:t>
      </w:r>
      <w:r w:rsidR="00F94B02">
        <w:t>were</w:t>
      </w:r>
      <w:r w:rsidR="00D97E3B" w:rsidRPr="00267155">
        <w:t xml:space="preserve"> between </w:t>
      </w:r>
      <w:r w:rsidR="007D198D">
        <w:t>US$</w:t>
      </w:r>
      <w:r w:rsidR="00D97E3B" w:rsidRPr="00267155">
        <w:t>2 (</w:t>
      </w:r>
      <w:r w:rsidR="007B10C8">
        <w:t>BM</w:t>
      </w:r>
      <w:r w:rsidR="00D97E3B" w:rsidRPr="00267155">
        <w:t xml:space="preserve">) and </w:t>
      </w:r>
      <w:r w:rsidR="007D198D">
        <w:t>US$</w:t>
      </w:r>
      <w:r w:rsidR="00D97E3B" w:rsidRPr="00267155">
        <w:t xml:space="preserve">7 (Alere) </w:t>
      </w:r>
      <w:r w:rsidR="00C93B86">
        <w:t>per test</w:t>
      </w:r>
      <w:r w:rsidR="00D97E3B">
        <w:t>,</w:t>
      </w:r>
      <w:r w:rsidR="00D97E3B" w:rsidRPr="00267155">
        <w:t xml:space="preserve"> assuming that 1</w:t>
      </w:r>
      <w:r w:rsidR="007D198D">
        <w:t>m</w:t>
      </w:r>
      <w:r w:rsidR="00D97E3B" w:rsidRPr="00267155">
        <w:t xml:space="preserve"> tests were produced annually</w:t>
      </w:r>
      <w:r w:rsidR="00D97E3B">
        <w:t xml:space="preserve">. </w:t>
      </w:r>
      <w:r w:rsidR="00D97E3B" w:rsidRPr="0042257F">
        <w:t xml:space="preserve">However, prices </w:t>
      </w:r>
      <w:r w:rsidR="00D97E3B">
        <w:t>in 2017</w:t>
      </w:r>
      <w:r w:rsidR="00D97E3B" w:rsidRPr="0042257F">
        <w:t xml:space="preserve"> range</w:t>
      </w:r>
      <w:r w:rsidR="00F94B02">
        <w:t>d</w:t>
      </w:r>
      <w:r w:rsidR="00D97E3B" w:rsidRPr="0042257F">
        <w:t xml:space="preserve"> from </w:t>
      </w:r>
      <w:r w:rsidR="007D198D">
        <w:t>US$</w:t>
      </w:r>
      <w:r w:rsidR="00D97E3B" w:rsidRPr="0042257F">
        <w:t>6 to around US</w:t>
      </w:r>
      <w:r w:rsidR="007D198D">
        <w:t>$20</w:t>
      </w:r>
      <w:r w:rsidR="00C93B86">
        <w:t xml:space="preserve"> per test</w:t>
      </w:r>
      <w:r w:rsidR="00D97E3B" w:rsidRPr="0042257F">
        <w:t xml:space="preserve">, </w:t>
      </w:r>
      <w:r w:rsidR="00C93B86">
        <w:t>and</w:t>
      </w:r>
      <w:r w:rsidR="00C93B86" w:rsidRPr="0042257F">
        <w:t xml:space="preserve"> </w:t>
      </w:r>
      <w:r w:rsidR="00D97E3B" w:rsidRPr="0042257F">
        <w:t xml:space="preserve">SAMBA POC tests </w:t>
      </w:r>
      <w:r w:rsidR="00C93B86">
        <w:t xml:space="preserve">were </w:t>
      </w:r>
      <w:r w:rsidR="00D97E3B">
        <w:t>particularly</w:t>
      </w:r>
      <w:r w:rsidR="00D97E3B" w:rsidRPr="0042257F">
        <w:t xml:space="preserve"> expensive at US</w:t>
      </w:r>
      <w:r w:rsidR="007D198D">
        <w:t>$43</w:t>
      </w:r>
      <w:r w:rsidR="00C93B86">
        <w:t xml:space="preserve"> per test</w:t>
      </w:r>
      <w:r w:rsidR="00D97E3B" w:rsidRPr="0042257F">
        <w:t>.</w:t>
      </w:r>
    </w:p>
    <w:p w14:paraId="62EA4494" w14:textId="77777777" w:rsidR="00D97E3B" w:rsidRDefault="00D97E3B" w:rsidP="00295BF9">
      <w:pPr>
        <w:pStyle w:val="CEPABullets"/>
      </w:pPr>
      <w:r>
        <w:t>The reasons for this lack of price reduction included:</w:t>
      </w:r>
    </w:p>
    <w:p w14:paraId="5055D9BA" w14:textId="02E33155" w:rsidR="00D97E3B" w:rsidRDefault="0094336A" w:rsidP="00295BF9">
      <w:pPr>
        <w:pStyle w:val="CEPABullets"/>
        <w:numPr>
          <w:ilvl w:val="1"/>
          <w:numId w:val="1"/>
        </w:numPr>
      </w:pPr>
      <w:r>
        <w:t xml:space="preserve">The number of VL </w:t>
      </w:r>
      <w:r w:rsidR="00D97E3B">
        <w:t xml:space="preserve">tests provided through the grant </w:t>
      </w:r>
      <w:r>
        <w:t>(a total of 420,000 tests)</w:t>
      </w:r>
      <w:r w:rsidR="00D97E3B">
        <w:t xml:space="preserve"> was insufficient to affect global procurement volumes or the number of manufacturers.</w:t>
      </w:r>
    </w:p>
    <w:p w14:paraId="088E86FF" w14:textId="77777777" w:rsidR="00D97E3B" w:rsidRDefault="00D97E3B" w:rsidP="00295BF9">
      <w:pPr>
        <w:pStyle w:val="CEPABullets"/>
        <w:numPr>
          <w:ilvl w:val="1"/>
          <w:numId w:val="1"/>
        </w:numPr>
      </w:pPr>
      <w:r>
        <w:t>Lack of demand for VL testing (partly through lack of international funding).</w:t>
      </w:r>
    </w:p>
    <w:p w14:paraId="5EDD909E" w14:textId="77777777" w:rsidR="00D97E3B" w:rsidRDefault="00D97E3B" w:rsidP="00295BF9">
      <w:pPr>
        <w:pStyle w:val="CEPABullets"/>
        <w:numPr>
          <w:ilvl w:val="1"/>
          <w:numId w:val="1"/>
        </w:numPr>
      </w:pPr>
      <w:r>
        <w:t>Limited use of pooled procurement.</w:t>
      </w:r>
    </w:p>
    <w:p w14:paraId="7501EF23" w14:textId="77777777" w:rsidR="00D97E3B" w:rsidRDefault="00D97E3B" w:rsidP="00295BF9">
      <w:pPr>
        <w:pStyle w:val="CEPABullets"/>
        <w:numPr>
          <w:ilvl w:val="1"/>
          <w:numId w:val="1"/>
        </w:numPr>
      </w:pPr>
      <w:r>
        <w:t>Lack of bundled pricing discounts across multi-disease testing platforms (TB, HIV, HCV etc.).</w:t>
      </w:r>
    </w:p>
    <w:p w14:paraId="6EBFE858" w14:textId="70CD44DD" w:rsidR="00D97E3B" w:rsidRDefault="00BD6D49" w:rsidP="001E6058">
      <w:pPr>
        <w:pStyle w:val="CEPABullets"/>
      </w:pPr>
      <w:r>
        <w:t xml:space="preserve">There were </w:t>
      </w:r>
      <w:r>
        <w:rPr>
          <w:b/>
        </w:rPr>
        <w:t>i</w:t>
      </w:r>
      <w:r w:rsidR="00D97E3B" w:rsidRPr="00385CF6">
        <w:rPr>
          <w:b/>
        </w:rPr>
        <w:t>solated examples of success</w:t>
      </w:r>
      <w:r w:rsidR="00D97E3B">
        <w:t xml:space="preserve"> in pushing prices downward:</w:t>
      </w:r>
    </w:p>
    <w:p w14:paraId="53415B19" w14:textId="728F6385" w:rsidR="00D97E3B" w:rsidRPr="00B265CA" w:rsidRDefault="000538C5" w:rsidP="001E6058">
      <w:pPr>
        <w:pStyle w:val="CEPABullets"/>
        <w:numPr>
          <w:ilvl w:val="1"/>
          <w:numId w:val="1"/>
        </w:numPr>
      </w:pPr>
      <w:r>
        <w:rPr>
          <w:rFonts w:asciiTheme="majorHAnsi" w:hAnsiTheme="majorHAnsi" w:cstheme="majorHAnsi"/>
          <w:lang w:val="en-US"/>
        </w:rPr>
        <w:t xml:space="preserve">In </w:t>
      </w:r>
      <w:r w:rsidR="00D97E3B">
        <w:rPr>
          <w:rFonts w:asciiTheme="majorHAnsi" w:hAnsiTheme="majorHAnsi" w:cstheme="majorHAnsi"/>
          <w:lang w:val="en-US"/>
        </w:rPr>
        <w:t>Kinshasa</w:t>
      </w:r>
      <w:r>
        <w:rPr>
          <w:rFonts w:asciiTheme="majorHAnsi" w:hAnsiTheme="majorHAnsi" w:cstheme="majorHAnsi"/>
          <w:lang w:val="en-US"/>
        </w:rPr>
        <w:t xml:space="preserve"> in the DRC, the</w:t>
      </w:r>
      <w:r w:rsidR="00D97E3B">
        <w:rPr>
          <w:rFonts w:asciiTheme="majorHAnsi" w:hAnsiTheme="majorHAnsi" w:cstheme="majorHAnsi"/>
          <w:lang w:val="en-US"/>
        </w:rPr>
        <w:t xml:space="preserve"> Abbott VL test fell from US</w:t>
      </w:r>
      <w:r w:rsidR="007D198D">
        <w:rPr>
          <w:rFonts w:asciiTheme="majorHAnsi" w:hAnsiTheme="majorHAnsi" w:cstheme="majorHAnsi"/>
          <w:lang w:val="en-US"/>
        </w:rPr>
        <w:t>$</w:t>
      </w:r>
      <w:r w:rsidR="00D97E3B">
        <w:rPr>
          <w:rFonts w:asciiTheme="majorHAnsi" w:hAnsiTheme="majorHAnsi" w:cstheme="majorHAnsi"/>
          <w:lang w:val="en-US"/>
        </w:rPr>
        <w:t>65 per test to US</w:t>
      </w:r>
      <w:r w:rsidR="007D198D">
        <w:rPr>
          <w:rFonts w:asciiTheme="majorHAnsi" w:hAnsiTheme="majorHAnsi" w:cstheme="majorHAnsi"/>
          <w:lang w:val="en-US"/>
        </w:rPr>
        <w:t>$</w:t>
      </w:r>
      <w:r w:rsidR="00D97E3B">
        <w:rPr>
          <w:rFonts w:asciiTheme="majorHAnsi" w:hAnsiTheme="majorHAnsi" w:cstheme="majorHAnsi"/>
          <w:lang w:val="en-US"/>
        </w:rPr>
        <w:t xml:space="preserve">15 (excluding transport costs) over </w:t>
      </w:r>
      <w:r w:rsidR="00515E22">
        <w:rPr>
          <w:rFonts w:asciiTheme="majorHAnsi" w:hAnsiTheme="majorHAnsi" w:cstheme="majorHAnsi"/>
          <w:lang w:val="en-US"/>
        </w:rPr>
        <w:t>the</w:t>
      </w:r>
      <w:r w:rsidR="00D97E3B">
        <w:rPr>
          <w:rFonts w:asciiTheme="majorHAnsi" w:hAnsiTheme="majorHAnsi" w:cstheme="majorHAnsi"/>
          <w:lang w:val="en-US"/>
        </w:rPr>
        <w:t xml:space="preserve"> grant implementation period, due to (i) direct procurement from Abbott Germany and (ii) negotiations by MSF and other actors</w:t>
      </w:r>
      <w:r w:rsidR="007D44AD">
        <w:rPr>
          <w:rFonts w:asciiTheme="majorHAnsi" w:hAnsiTheme="majorHAnsi" w:cstheme="majorHAnsi"/>
          <w:lang w:val="en-US"/>
        </w:rPr>
        <w:t>,</w:t>
      </w:r>
      <w:r w:rsidR="00D97E3B">
        <w:rPr>
          <w:rFonts w:asciiTheme="majorHAnsi" w:hAnsiTheme="majorHAnsi" w:cstheme="majorHAnsi"/>
          <w:lang w:val="en-US"/>
        </w:rPr>
        <w:t xml:space="preserve"> such as </w:t>
      </w:r>
      <w:r w:rsidR="007D44AD">
        <w:rPr>
          <w:rFonts w:asciiTheme="majorHAnsi" w:hAnsiTheme="majorHAnsi" w:cstheme="majorHAnsi"/>
          <w:lang w:val="en-US"/>
        </w:rPr>
        <w:t>the Global Fund</w:t>
      </w:r>
      <w:r w:rsidR="00D97E3B">
        <w:rPr>
          <w:rFonts w:asciiTheme="majorHAnsi" w:hAnsiTheme="majorHAnsi" w:cstheme="majorHAnsi"/>
          <w:lang w:val="en-US"/>
        </w:rPr>
        <w:t xml:space="preserve">. This triggered </w:t>
      </w:r>
      <w:r w:rsidR="00D97E3B">
        <w:rPr>
          <w:rFonts w:asciiTheme="majorHAnsi" w:hAnsiTheme="majorHAnsi" w:cstheme="majorHAnsi"/>
          <w:b/>
          <w:lang w:val="en-US"/>
        </w:rPr>
        <w:t>further price drops at the national level</w:t>
      </w:r>
      <w:r w:rsidR="00D97E3B">
        <w:rPr>
          <w:rFonts w:asciiTheme="majorHAnsi" w:hAnsiTheme="majorHAnsi" w:cstheme="majorHAnsi"/>
          <w:lang w:val="en-US"/>
        </w:rPr>
        <w:t xml:space="preserve">. </w:t>
      </w:r>
      <w:r w:rsidR="00D97E3B">
        <w:rPr>
          <w:rStyle w:val="FootnoteReference"/>
          <w:rFonts w:asciiTheme="majorHAnsi" w:hAnsiTheme="majorHAnsi" w:cstheme="majorHAnsi"/>
          <w:lang w:val="en-US"/>
        </w:rPr>
        <w:footnoteReference w:id="121"/>
      </w:r>
    </w:p>
    <w:p w14:paraId="0D50B3EA" w14:textId="77777777" w:rsidR="00D97E3B" w:rsidRPr="00816C75" w:rsidRDefault="00D97E3B" w:rsidP="00816C75">
      <w:pPr>
        <w:pStyle w:val="CEPAReportText"/>
        <w:rPr>
          <w:i/>
        </w:rPr>
      </w:pPr>
      <w:r w:rsidRPr="00816C75">
        <w:rPr>
          <w:i/>
        </w:rPr>
        <w:t>Market competition/monopoly:</w:t>
      </w:r>
    </w:p>
    <w:p w14:paraId="6C12C5B6" w14:textId="77777777" w:rsidR="00D97E3B" w:rsidRDefault="00D97E3B" w:rsidP="00C858D1">
      <w:pPr>
        <w:pStyle w:val="CEPABullets"/>
      </w:pPr>
      <w:r>
        <w:t>Through the grant, MSF has consistently advocated for competition between manufacturers, and its choice of technologies across the project countries was informed by this priority.</w:t>
      </w:r>
      <w:r>
        <w:rPr>
          <w:rStyle w:val="FootnoteReference"/>
        </w:rPr>
        <w:footnoteReference w:id="122"/>
      </w:r>
    </w:p>
    <w:p w14:paraId="2737CFAE" w14:textId="2827D550" w:rsidR="00D97E3B" w:rsidRDefault="00D97E3B" w:rsidP="00C858D1">
      <w:pPr>
        <w:pStyle w:val="CEPABullets"/>
      </w:pPr>
      <w:r>
        <w:t xml:space="preserve">In Malawi, MSF believe the MOH are at risk of being ‘locked in’ with the Abbott platform. The MOH has bought the Abbott platforms rather than renting them, and MSF changed to an Abbott platform in Thyolo in order to be aligned with the MOH to improve project </w:t>
      </w:r>
      <w:r w:rsidR="003C6684">
        <w:t>hand-over</w:t>
      </w:r>
      <w:r>
        <w:t>.</w:t>
      </w:r>
      <w:r>
        <w:rPr>
          <w:rStyle w:val="FootnoteReference"/>
        </w:rPr>
        <w:footnoteReference w:id="123"/>
      </w:r>
      <w:r>
        <w:t xml:space="preserve"> </w:t>
      </w:r>
    </w:p>
    <w:p w14:paraId="232703BB" w14:textId="7C89513E" w:rsidR="00D97E3B" w:rsidRPr="00385CF6" w:rsidRDefault="00D97E3B" w:rsidP="00C858D1">
      <w:pPr>
        <w:pStyle w:val="CEPABullets"/>
      </w:pPr>
      <w:r>
        <w:t xml:space="preserve">In Zimbabwe, MSF credit the </w:t>
      </w:r>
      <w:r w:rsidR="00B55E9C">
        <w:t>Unitaid</w:t>
      </w:r>
      <w:r>
        <w:t xml:space="preserve"> grant for maintaining competition between several technologies</w:t>
      </w:r>
      <w:r w:rsidR="004366BA">
        <w:t xml:space="preserve">: i.e. </w:t>
      </w:r>
      <w:r w:rsidR="007B10C8">
        <w:rPr>
          <w:rFonts w:asciiTheme="majorHAnsi" w:hAnsiTheme="majorHAnsi" w:cstheme="majorBidi"/>
          <w:lang w:val="en-US"/>
        </w:rPr>
        <w:t>BM</w:t>
      </w:r>
      <w:r w:rsidRPr="69BBFBCB">
        <w:rPr>
          <w:rFonts w:asciiTheme="majorHAnsi" w:hAnsiTheme="majorHAnsi" w:cstheme="majorBidi"/>
          <w:lang w:val="en-US"/>
        </w:rPr>
        <w:t xml:space="preserve"> vs Roche for VL; </w:t>
      </w:r>
      <w:r w:rsidR="004366BA">
        <w:rPr>
          <w:rFonts w:asciiTheme="majorHAnsi" w:hAnsiTheme="majorHAnsi" w:cstheme="majorBidi"/>
          <w:lang w:val="en-US"/>
        </w:rPr>
        <w:t>and</w:t>
      </w:r>
      <w:r w:rsidRPr="69BBFBCB">
        <w:rPr>
          <w:rFonts w:asciiTheme="majorHAnsi" w:hAnsiTheme="majorHAnsi" w:cstheme="majorBidi"/>
          <w:lang w:val="en-US"/>
        </w:rPr>
        <w:t xml:space="preserve"> PIMA vs BD FACSPresto for POC CD4</w:t>
      </w:r>
      <w:r>
        <w:rPr>
          <w:rFonts w:asciiTheme="majorHAnsi" w:hAnsiTheme="majorHAnsi" w:cstheme="majorBidi"/>
          <w:lang w:val="en-US"/>
        </w:rPr>
        <w:t>.</w:t>
      </w:r>
    </w:p>
    <w:p w14:paraId="52F56268" w14:textId="77777777" w:rsidR="00D97E3B" w:rsidRPr="0044499C" w:rsidRDefault="00D97E3B" w:rsidP="00816C75">
      <w:pPr>
        <w:pStyle w:val="CEPAReportText"/>
      </w:pPr>
    </w:p>
    <w:p w14:paraId="2ACCFF22" w14:textId="77777777" w:rsidR="00D97E3B" w:rsidRPr="00FC7EBA" w:rsidRDefault="00D97E3B" w:rsidP="00816C75">
      <w:pPr>
        <w:pStyle w:val="CEPAReportText"/>
      </w:pPr>
    </w:p>
    <w:p w14:paraId="15647C8B" w14:textId="77777777" w:rsidR="00D97E3B" w:rsidRPr="00FC7EBA" w:rsidRDefault="00D97E3B" w:rsidP="003452D3">
      <w:pPr>
        <w:pStyle w:val="CEPAReportText"/>
        <w:rPr>
          <w:b/>
          <w:smallCaps/>
        </w:rPr>
        <w:sectPr w:rsidR="00D97E3B" w:rsidRPr="00FC7EBA" w:rsidSect="00280C9A">
          <w:headerReference w:type="default" r:id="rId34"/>
          <w:footerReference w:type="even" r:id="rId35"/>
          <w:footerReference w:type="default" r:id="rId36"/>
          <w:pgSz w:w="11906" w:h="16838"/>
          <w:pgMar w:top="1440" w:right="1440" w:bottom="1440" w:left="1440" w:header="709" w:footer="709" w:gutter="0"/>
          <w:cols w:space="708"/>
          <w:docGrid w:linePitch="360"/>
        </w:sectPr>
      </w:pPr>
    </w:p>
    <w:p w14:paraId="4B0A9505" w14:textId="41CC5647" w:rsidR="00D97E3B" w:rsidRDefault="00D97E3B" w:rsidP="00D97E3B">
      <w:pPr>
        <w:pStyle w:val="Heading7"/>
        <w:numPr>
          <w:ilvl w:val="0"/>
          <w:numId w:val="3"/>
        </w:numPr>
      </w:pPr>
      <w:bookmarkStart w:id="701" w:name="_Toc515359236"/>
      <w:bookmarkStart w:id="702" w:name="_Toc500445663"/>
      <w:bookmarkStart w:id="703" w:name="_Toc500503143"/>
      <w:bookmarkStart w:id="704" w:name="_Toc500508124"/>
      <w:bookmarkStart w:id="705" w:name="_Toc500512852"/>
      <w:bookmarkStart w:id="706" w:name="_Toc500517778"/>
      <w:bookmarkStart w:id="707" w:name="_Toc500519593"/>
      <w:bookmarkStart w:id="708" w:name="_Toc500524440"/>
      <w:bookmarkStart w:id="709" w:name="_Toc506417412"/>
      <w:r>
        <w:t xml:space="preserve">Summary of </w:t>
      </w:r>
      <w:r w:rsidR="00B6205B">
        <w:t>country programmes</w:t>
      </w:r>
      <w:r>
        <w:t xml:space="preserve"> and progress</w:t>
      </w:r>
      <w:bookmarkEnd w:id="701"/>
      <w:r>
        <w:t xml:space="preserve"> </w:t>
      </w:r>
      <w:bookmarkEnd w:id="702"/>
      <w:bookmarkEnd w:id="703"/>
      <w:bookmarkEnd w:id="704"/>
      <w:bookmarkEnd w:id="705"/>
      <w:bookmarkEnd w:id="706"/>
      <w:bookmarkEnd w:id="707"/>
      <w:bookmarkEnd w:id="708"/>
      <w:bookmarkEnd w:id="709"/>
    </w:p>
    <w:p w14:paraId="7003C751" w14:textId="77777777" w:rsidR="00D97E3B" w:rsidRDefault="00D97E3B" w:rsidP="00D97E3B">
      <w:pPr>
        <w:pStyle w:val="CEPAReportText"/>
        <w:rPr>
          <w:lang w:val="en-US"/>
        </w:rPr>
      </w:pPr>
      <w:r>
        <w:rPr>
          <w:lang w:val="en-US"/>
        </w:rPr>
        <w:t>This annex provides a high-level summary of progress and issues by project country and site, drawing on the information contained in the Annual Progress Reports for 2013-16.</w:t>
      </w:r>
    </w:p>
    <w:p w14:paraId="5C025AD8" w14:textId="37F281B3" w:rsidR="00D97E3B" w:rsidRPr="006F2A20" w:rsidRDefault="00D97E3B" w:rsidP="00D97E3B">
      <w:pPr>
        <w:pStyle w:val="CEPADiagramLabel"/>
      </w:pPr>
      <w:r>
        <w:t xml:space="preserve">Table </w:t>
      </w:r>
      <w:r w:rsidR="00362618">
        <w:t>G.1</w:t>
      </w:r>
      <w:r>
        <w:t>: Progress and key issues by country and site</w:t>
      </w: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95"/>
        <w:gridCol w:w="3138"/>
        <w:gridCol w:w="3138"/>
        <w:gridCol w:w="3138"/>
        <w:gridCol w:w="3139"/>
      </w:tblGrid>
      <w:tr w:rsidR="00D97E3B" w14:paraId="4297C019" w14:textId="77777777" w:rsidTr="00894BCA">
        <w:trPr>
          <w:tblHeader/>
        </w:trPr>
        <w:tc>
          <w:tcPr>
            <w:tcW w:w="0" w:type="auto"/>
            <w:shd w:val="solid" w:color="4B86CD" w:fill="auto"/>
          </w:tcPr>
          <w:p w14:paraId="61640A60" w14:textId="77777777" w:rsidR="00D97E3B" w:rsidRPr="006F1EE1" w:rsidRDefault="00D97E3B" w:rsidP="00873066">
            <w:pPr>
              <w:pStyle w:val="CEPATabletext"/>
              <w:rPr>
                <w:b/>
                <w:color w:val="FFFFFF"/>
                <w:sz w:val="18"/>
                <w:szCs w:val="18"/>
              </w:rPr>
            </w:pPr>
            <w:r w:rsidRPr="006F1EE1">
              <w:rPr>
                <w:b/>
                <w:color w:val="FFFFFF"/>
                <w:sz w:val="18"/>
                <w:szCs w:val="18"/>
              </w:rPr>
              <w:t>Country</w:t>
            </w:r>
          </w:p>
        </w:tc>
        <w:tc>
          <w:tcPr>
            <w:tcW w:w="3138" w:type="dxa"/>
            <w:shd w:val="solid" w:color="4B86CD" w:fill="auto"/>
            <w:vAlign w:val="center"/>
          </w:tcPr>
          <w:p w14:paraId="55EEF305" w14:textId="77777777" w:rsidR="00D97E3B" w:rsidRPr="006F1EE1" w:rsidRDefault="00D97E3B" w:rsidP="00873066">
            <w:pPr>
              <w:pStyle w:val="CEPATabletext"/>
              <w:jc w:val="center"/>
              <w:rPr>
                <w:b/>
                <w:color w:val="FFFFFF"/>
                <w:sz w:val="18"/>
                <w:szCs w:val="18"/>
              </w:rPr>
            </w:pPr>
            <w:r w:rsidRPr="006F1EE1">
              <w:rPr>
                <w:b/>
                <w:color w:val="FFFFFF"/>
                <w:sz w:val="18"/>
                <w:szCs w:val="18"/>
              </w:rPr>
              <w:t>2013</w:t>
            </w:r>
          </w:p>
        </w:tc>
        <w:tc>
          <w:tcPr>
            <w:tcW w:w="3138" w:type="dxa"/>
            <w:shd w:val="solid" w:color="4B86CD" w:fill="auto"/>
            <w:vAlign w:val="center"/>
          </w:tcPr>
          <w:p w14:paraId="4AEDE11B" w14:textId="77777777" w:rsidR="00D97E3B" w:rsidRPr="006F1EE1" w:rsidRDefault="00D97E3B" w:rsidP="00873066">
            <w:pPr>
              <w:pStyle w:val="CEPATabletext"/>
              <w:jc w:val="center"/>
              <w:rPr>
                <w:b/>
                <w:color w:val="FFFFFF"/>
                <w:sz w:val="18"/>
                <w:szCs w:val="18"/>
              </w:rPr>
            </w:pPr>
            <w:r w:rsidRPr="006F1EE1">
              <w:rPr>
                <w:b/>
                <w:color w:val="FFFFFF"/>
                <w:sz w:val="18"/>
                <w:szCs w:val="18"/>
              </w:rPr>
              <w:t>2014</w:t>
            </w:r>
          </w:p>
        </w:tc>
        <w:tc>
          <w:tcPr>
            <w:tcW w:w="3138" w:type="dxa"/>
            <w:shd w:val="solid" w:color="4B86CD" w:fill="auto"/>
            <w:vAlign w:val="center"/>
          </w:tcPr>
          <w:p w14:paraId="22E19DEE" w14:textId="77777777" w:rsidR="00D97E3B" w:rsidRPr="006F1EE1" w:rsidRDefault="00D97E3B" w:rsidP="00873066">
            <w:pPr>
              <w:pStyle w:val="CEPATabletext"/>
              <w:jc w:val="center"/>
              <w:rPr>
                <w:b/>
                <w:color w:val="FFFFFF"/>
                <w:sz w:val="18"/>
                <w:szCs w:val="18"/>
              </w:rPr>
            </w:pPr>
            <w:r w:rsidRPr="006F1EE1">
              <w:rPr>
                <w:b/>
                <w:color w:val="FFFFFF"/>
                <w:sz w:val="18"/>
                <w:szCs w:val="18"/>
              </w:rPr>
              <w:t>2015</w:t>
            </w:r>
          </w:p>
        </w:tc>
        <w:tc>
          <w:tcPr>
            <w:tcW w:w="3139" w:type="dxa"/>
            <w:shd w:val="solid" w:color="4B86CD" w:fill="auto"/>
            <w:vAlign w:val="center"/>
          </w:tcPr>
          <w:p w14:paraId="44747420" w14:textId="77777777" w:rsidR="00D97E3B" w:rsidRPr="006F1EE1" w:rsidRDefault="00D97E3B" w:rsidP="00873066">
            <w:pPr>
              <w:pStyle w:val="CEPATabletext"/>
              <w:jc w:val="center"/>
              <w:rPr>
                <w:b/>
                <w:color w:val="FFFFFF"/>
                <w:sz w:val="18"/>
                <w:szCs w:val="18"/>
              </w:rPr>
            </w:pPr>
            <w:r w:rsidRPr="006F1EE1">
              <w:rPr>
                <w:b/>
                <w:color w:val="FFFFFF"/>
                <w:sz w:val="18"/>
                <w:szCs w:val="18"/>
              </w:rPr>
              <w:t>2016</w:t>
            </w:r>
          </w:p>
        </w:tc>
      </w:tr>
      <w:tr w:rsidR="00D97E3B" w14:paraId="40CFAE7E" w14:textId="77777777" w:rsidTr="00894BCA">
        <w:tc>
          <w:tcPr>
            <w:tcW w:w="0" w:type="auto"/>
          </w:tcPr>
          <w:p w14:paraId="52B15C11" w14:textId="77777777" w:rsidR="00D97E3B" w:rsidRPr="006F1EE1" w:rsidRDefault="00D97E3B" w:rsidP="00873066">
            <w:pPr>
              <w:pStyle w:val="CEPATabletext"/>
              <w:rPr>
                <w:sz w:val="18"/>
                <w:szCs w:val="18"/>
              </w:rPr>
            </w:pPr>
            <w:r w:rsidRPr="006F1EE1">
              <w:rPr>
                <w:sz w:val="18"/>
                <w:szCs w:val="18"/>
              </w:rPr>
              <w:t>DRC OCB</w:t>
            </w:r>
          </w:p>
        </w:tc>
        <w:tc>
          <w:tcPr>
            <w:tcW w:w="3138" w:type="dxa"/>
          </w:tcPr>
          <w:p w14:paraId="7925E1F9" w14:textId="77777777" w:rsidR="00D97E3B" w:rsidRPr="006F1EE1" w:rsidRDefault="00D97E3B" w:rsidP="00873066">
            <w:pPr>
              <w:pStyle w:val="CEPATabletext"/>
              <w:ind w:left="-10"/>
              <w:rPr>
                <w:sz w:val="18"/>
                <w:szCs w:val="18"/>
              </w:rPr>
            </w:pPr>
          </w:p>
        </w:tc>
        <w:tc>
          <w:tcPr>
            <w:tcW w:w="3138" w:type="dxa"/>
          </w:tcPr>
          <w:p w14:paraId="3D5AF994" w14:textId="1049D4A5" w:rsidR="00D97E3B" w:rsidRPr="006F1EE1" w:rsidRDefault="00D97E3B" w:rsidP="00873066">
            <w:pPr>
              <w:pStyle w:val="CEPATabletext"/>
              <w:ind w:left="-10"/>
              <w:rPr>
                <w:sz w:val="18"/>
                <w:szCs w:val="18"/>
              </w:rPr>
            </w:pPr>
            <w:r w:rsidRPr="006F1EE1">
              <w:rPr>
                <w:sz w:val="18"/>
                <w:szCs w:val="18"/>
              </w:rPr>
              <w:t xml:space="preserve">No tests completed on </w:t>
            </w:r>
            <w:r w:rsidR="00B55E9C">
              <w:rPr>
                <w:sz w:val="18"/>
                <w:szCs w:val="18"/>
              </w:rPr>
              <w:t>Unitaid</w:t>
            </w:r>
            <w:r w:rsidRPr="006F1EE1">
              <w:rPr>
                <w:sz w:val="18"/>
                <w:szCs w:val="18"/>
              </w:rPr>
              <w:t xml:space="preserve"> funds due to delay in delivery of VL Abbott Machine (originally Oct 2014). </w:t>
            </w:r>
          </w:p>
          <w:p w14:paraId="662580CC" w14:textId="1B0B8CA8" w:rsidR="00D97E3B" w:rsidRPr="006F1EE1" w:rsidRDefault="00D97E3B" w:rsidP="00873066">
            <w:pPr>
              <w:pStyle w:val="CEPATabletext"/>
              <w:ind w:left="-10"/>
              <w:rPr>
                <w:sz w:val="18"/>
                <w:szCs w:val="18"/>
              </w:rPr>
            </w:pPr>
            <w:r w:rsidRPr="006F1EE1">
              <w:rPr>
                <w:sz w:val="18"/>
                <w:szCs w:val="18"/>
              </w:rPr>
              <w:t xml:space="preserve">Essential VL outsourced, continuing with CD4 for the Health </w:t>
            </w:r>
            <w:r w:rsidR="00BC6B8E">
              <w:rPr>
                <w:sz w:val="18"/>
                <w:szCs w:val="18"/>
              </w:rPr>
              <w:t>Centre</w:t>
            </w:r>
            <w:r w:rsidRPr="006F1EE1">
              <w:rPr>
                <w:sz w:val="18"/>
                <w:szCs w:val="18"/>
              </w:rPr>
              <w:t>s.</w:t>
            </w:r>
          </w:p>
          <w:p w14:paraId="47CB10BD" w14:textId="77777777" w:rsidR="00D97E3B" w:rsidRPr="006F1EE1" w:rsidRDefault="00D97E3B" w:rsidP="00873066">
            <w:pPr>
              <w:pStyle w:val="CEPATabletext"/>
              <w:ind w:left="-10"/>
              <w:rPr>
                <w:sz w:val="18"/>
                <w:szCs w:val="18"/>
              </w:rPr>
            </w:pPr>
            <w:r w:rsidRPr="006F1EE1">
              <w:rPr>
                <w:sz w:val="18"/>
                <w:szCs w:val="18"/>
              </w:rPr>
              <w:t>Lab rehabilitation to include VL equipment adaptability.</w:t>
            </w:r>
          </w:p>
          <w:p w14:paraId="544DFB73" w14:textId="77777777" w:rsidR="00D97E3B" w:rsidRPr="006F1EE1" w:rsidRDefault="00D97E3B" w:rsidP="00873066">
            <w:pPr>
              <w:pStyle w:val="CEPATabletext"/>
              <w:ind w:left="-10"/>
              <w:rPr>
                <w:sz w:val="18"/>
                <w:szCs w:val="18"/>
              </w:rPr>
            </w:pPr>
            <w:r w:rsidRPr="006F1EE1">
              <w:rPr>
                <w:sz w:val="18"/>
                <w:szCs w:val="18"/>
              </w:rPr>
              <w:t>The PNLS (National Program to Fight Aids) to offer VL testing 6 months after ART initiation and afterwards repeat annually.</w:t>
            </w:r>
          </w:p>
        </w:tc>
        <w:tc>
          <w:tcPr>
            <w:tcW w:w="3138" w:type="dxa"/>
          </w:tcPr>
          <w:p w14:paraId="4EB44DFB" w14:textId="77777777" w:rsidR="00D97E3B" w:rsidRPr="006F1EE1" w:rsidRDefault="00D97E3B" w:rsidP="00873066">
            <w:pPr>
              <w:pStyle w:val="CEPATabletext"/>
              <w:ind w:left="-10"/>
              <w:rPr>
                <w:sz w:val="18"/>
                <w:szCs w:val="18"/>
              </w:rPr>
            </w:pPr>
            <w:r w:rsidRPr="006F1EE1">
              <w:rPr>
                <w:sz w:val="18"/>
                <w:szCs w:val="18"/>
              </w:rPr>
              <w:t>The Abbott platform arrived June 2015, but was only operational for 72 days out of 191 in 2015 due to lack of consumables, a small broken bolt, and a cold chain rupture resulting in the reagents being put in quarantine. Some tests outsourced.</w:t>
            </w:r>
          </w:p>
          <w:p w14:paraId="762082E7" w14:textId="77777777" w:rsidR="00D97E3B" w:rsidRPr="006F1EE1" w:rsidRDefault="00D97E3B" w:rsidP="00873066">
            <w:pPr>
              <w:pStyle w:val="CEPATabletext"/>
              <w:ind w:left="-10"/>
              <w:rPr>
                <w:sz w:val="18"/>
                <w:szCs w:val="18"/>
              </w:rPr>
            </w:pPr>
            <w:r w:rsidRPr="006F1EE1">
              <w:rPr>
                <w:sz w:val="18"/>
                <w:szCs w:val="18"/>
              </w:rPr>
              <w:t>A GeneXpert was ordered to start POC VL and EID analyses, and as a back-up in case of further Abbott defects. Will consider whether GeneXpert may be better suited to a relatively small and concentrated cohort.</w:t>
            </w:r>
          </w:p>
        </w:tc>
        <w:tc>
          <w:tcPr>
            <w:tcW w:w="3139" w:type="dxa"/>
          </w:tcPr>
          <w:p w14:paraId="584AC743" w14:textId="77777777" w:rsidR="00D97E3B" w:rsidRPr="006F1EE1" w:rsidRDefault="00D97E3B" w:rsidP="00873066">
            <w:pPr>
              <w:pStyle w:val="CEPATabletext"/>
              <w:ind w:left="-10"/>
              <w:rPr>
                <w:sz w:val="18"/>
                <w:szCs w:val="18"/>
              </w:rPr>
            </w:pPr>
            <w:r w:rsidRPr="006F1EE1">
              <w:rPr>
                <w:sz w:val="18"/>
                <w:szCs w:val="18"/>
              </w:rPr>
              <w:t>DBS EID testing on the Abbott platform started in early 2016</w:t>
            </w:r>
          </w:p>
          <w:p w14:paraId="47CB2C2E" w14:textId="77777777" w:rsidR="00D97E3B" w:rsidRPr="006F1EE1" w:rsidRDefault="00D97E3B" w:rsidP="00873066">
            <w:pPr>
              <w:pStyle w:val="CEPATabletext"/>
              <w:ind w:left="-10"/>
              <w:rPr>
                <w:sz w:val="18"/>
                <w:szCs w:val="18"/>
              </w:rPr>
            </w:pPr>
            <w:r w:rsidRPr="006F1EE1">
              <w:rPr>
                <w:sz w:val="18"/>
                <w:szCs w:val="18"/>
              </w:rPr>
              <w:t xml:space="preserve">Significant scale-up of VL and EID activities. </w:t>
            </w:r>
          </w:p>
          <w:p w14:paraId="586ACE8E" w14:textId="77777777" w:rsidR="00D97E3B" w:rsidRPr="006F1EE1" w:rsidRDefault="00D97E3B" w:rsidP="00873066">
            <w:pPr>
              <w:pStyle w:val="CEPATabletext"/>
              <w:ind w:left="-10"/>
              <w:rPr>
                <w:sz w:val="18"/>
                <w:szCs w:val="18"/>
              </w:rPr>
            </w:pPr>
            <w:r w:rsidRPr="006F1EE1">
              <w:rPr>
                <w:sz w:val="18"/>
                <w:szCs w:val="18"/>
              </w:rPr>
              <w:t>Samples pooled from MSF and partner sites.</w:t>
            </w:r>
          </w:p>
          <w:p w14:paraId="1483025E" w14:textId="77777777" w:rsidR="00D97E3B" w:rsidRPr="006F1EE1" w:rsidRDefault="00D97E3B" w:rsidP="00873066">
            <w:pPr>
              <w:pStyle w:val="CEPATabletext"/>
              <w:ind w:left="-10"/>
              <w:rPr>
                <w:sz w:val="18"/>
                <w:szCs w:val="18"/>
              </w:rPr>
            </w:pPr>
            <w:r w:rsidRPr="006F1EE1">
              <w:rPr>
                <w:sz w:val="18"/>
                <w:szCs w:val="18"/>
              </w:rPr>
              <w:t>Conducted a study to validate VL and EID testing on GeneXpert together with TB diagnosis.</w:t>
            </w:r>
          </w:p>
          <w:p w14:paraId="00FE8F64" w14:textId="77777777" w:rsidR="00D97E3B" w:rsidRPr="006F1EE1" w:rsidRDefault="00D97E3B" w:rsidP="00873066">
            <w:pPr>
              <w:pStyle w:val="CEPATabletext"/>
              <w:ind w:left="-10"/>
              <w:rPr>
                <w:sz w:val="18"/>
                <w:szCs w:val="18"/>
              </w:rPr>
            </w:pPr>
          </w:p>
        </w:tc>
      </w:tr>
      <w:tr w:rsidR="00D97E3B" w14:paraId="6CDBF317" w14:textId="77777777" w:rsidTr="00894BCA">
        <w:tc>
          <w:tcPr>
            <w:tcW w:w="0" w:type="auto"/>
          </w:tcPr>
          <w:p w14:paraId="7A65F655" w14:textId="77777777" w:rsidR="00D97E3B" w:rsidRPr="006F1EE1" w:rsidRDefault="00D97E3B" w:rsidP="00873066">
            <w:pPr>
              <w:pStyle w:val="CEPATabletext"/>
              <w:rPr>
                <w:sz w:val="18"/>
                <w:szCs w:val="18"/>
              </w:rPr>
            </w:pPr>
            <w:r w:rsidRPr="006F1EE1">
              <w:rPr>
                <w:sz w:val="18"/>
                <w:szCs w:val="18"/>
              </w:rPr>
              <w:t>Kenya OCP</w:t>
            </w:r>
          </w:p>
        </w:tc>
        <w:tc>
          <w:tcPr>
            <w:tcW w:w="3138" w:type="dxa"/>
          </w:tcPr>
          <w:p w14:paraId="34A80906" w14:textId="77777777" w:rsidR="00D97E3B" w:rsidRPr="006F1EE1" w:rsidRDefault="00D97E3B" w:rsidP="00873066">
            <w:pPr>
              <w:pStyle w:val="CEPATabletext"/>
              <w:ind w:left="-10"/>
              <w:rPr>
                <w:sz w:val="18"/>
                <w:szCs w:val="18"/>
              </w:rPr>
            </w:pPr>
          </w:p>
        </w:tc>
        <w:tc>
          <w:tcPr>
            <w:tcW w:w="3138" w:type="dxa"/>
          </w:tcPr>
          <w:p w14:paraId="2D6F059F" w14:textId="77777777" w:rsidR="00D97E3B" w:rsidRPr="006F1EE1" w:rsidRDefault="00D97E3B" w:rsidP="00873066">
            <w:pPr>
              <w:pStyle w:val="CEPATabletext"/>
              <w:ind w:left="-10"/>
              <w:rPr>
                <w:sz w:val="18"/>
                <w:szCs w:val="18"/>
              </w:rPr>
            </w:pPr>
          </w:p>
        </w:tc>
        <w:tc>
          <w:tcPr>
            <w:tcW w:w="3138" w:type="dxa"/>
          </w:tcPr>
          <w:p w14:paraId="17376175" w14:textId="77777777" w:rsidR="00D97E3B" w:rsidRPr="006F1EE1" w:rsidRDefault="00D97E3B" w:rsidP="00873066">
            <w:pPr>
              <w:pStyle w:val="CEPATabletext"/>
              <w:ind w:left="-10"/>
              <w:rPr>
                <w:sz w:val="18"/>
                <w:szCs w:val="18"/>
              </w:rPr>
            </w:pPr>
            <w:r w:rsidRPr="006F1EE1">
              <w:rPr>
                <w:sz w:val="18"/>
                <w:szCs w:val="18"/>
              </w:rPr>
              <w:t xml:space="preserve">Ethical approval for GenXpert HIV-Qual validation study obtained in France and Kenya. </w:t>
            </w:r>
          </w:p>
          <w:p w14:paraId="42A27DED" w14:textId="77777777" w:rsidR="00D97E3B" w:rsidRPr="006F1EE1" w:rsidRDefault="00D97E3B" w:rsidP="00873066">
            <w:pPr>
              <w:pStyle w:val="CEPATabletext"/>
              <w:ind w:left="-10"/>
              <w:rPr>
                <w:sz w:val="18"/>
                <w:szCs w:val="18"/>
              </w:rPr>
            </w:pPr>
            <w:r w:rsidRPr="006F1EE1">
              <w:rPr>
                <w:sz w:val="18"/>
                <w:szCs w:val="18"/>
              </w:rPr>
              <w:t>Labs ready, staff recruited and trained.</w:t>
            </w:r>
          </w:p>
        </w:tc>
        <w:tc>
          <w:tcPr>
            <w:tcW w:w="3139" w:type="dxa"/>
          </w:tcPr>
          <w:p w14:paraId="6EC5BE51" w14:textId="77777777" w:rsidR="00D97E3B" w:rsidRPr="006F1EE1" w:rsidRDefault="00D97E3B" w:rsidP="00873066">
            <w:pPr>
              <w:pStyle w:val="CEPATabletext"/>
              <w:ind w:left="-10"/>
              <w:rPr>
                <w:sz w:val="18"/>
                <w:szCs w:val="18"/>
              </w:rPr>
            </w:pPr>
            <w:r w:rsidRPr="006F1EE1">
              <w:rPr>
                <w:sz w:val="18"/>
                <w:szCs w:val="18"/>
              </w:rPr>
              <w:t>Study started on January 2016.</w:t>
            </w:r>
          </w:p>
          <w:p w14:paraId="332325BC" w14:textId="251FD875" w:rsidR="00D97E3B" w:rsidRPr="006F1EE1" w:rsidRDefault="00D97E3B" w:rsidP="00873066">
            <w:pPr>
              <w:pStyle w:val="CEPATabletext"/>
              <w:ind w:left="-10"/>
              <w:rPr>
                <w:sz w:val="18"/>
                <w:szCs w:val="18"/>
              </w:rPr>
            </w:pPr>
            <w:r w:rsidRPr="006F1EE1">
              <w:rPr>
                <w:sz w:val="18"/>
                <w:szCs w:val="18"/>
              </w:rPr>
              <w:t xml:space="preserve">Study results were positive and shared with </w:t>
            </w:r>
            <w:r w:rsidR="00B61C4F">
              <w:rPr>
                <w:sz w:val="18"/>
                <w:szCs w:val="18"/>
              </w:rPr>
              <w:t>MOH</w:t>
            </w:r>
            <w:r w:rsidRPr="006F1EE1">
              <w:rPr>
                <w:sz w:val="18"/>
                <w:szCs w:val="18"/>
              </w:rPr>
              <w:t xml:space="preserve"> and other partners to support national validation of GeneXpert EID in Kenya.</w:t>
            </w:r>
          </w:p>
          <w:p w14:paraId="666B5DF5" w14:textId="77777777" w:rsidR="00D97E3B" w:rsidRPr="006F1EE1" w:rsidRDefault="00D97E3B" w:rsidP="00873066">
            <w:pPr>
              <w:pStyle w:val="CEPATabletext"/>
              <w:ind w:left="-10"/>
              <w:rPr>
                <w:sz w:val="18"/>
                <w:szCs w:val="18"/>
              </w:rPr>
            </w:pPr>
            <w:r w:rsidRPr="006F1EE1">
              <w:rPr>
                <w:sz w:val="18"/>
                <w:szCs w:val="18"/>
              </w:rPr>
              <w:t xml:space="preserve">Validation not completed by end 2016. </w:t>
            </w:r>
          </w:p>
          <w:p w14:paraId="400076D7" w14:textId="77777777" w:rsidR="00D97E3B" w:rsidRPr="006F1EE1" w:rsidRDefault="00D97E3B" w:rsidP="00873066">
            <w:pPr>
              <w:pStyle w:val="CEPATabletext"/>
              <w:ind w:left="-10"/>
              <w:rPr>
                <w:sz w:val="18"/>
                <w:szCs w:val="18"/>
              </w:rPr>
            </w:pPr>
            <w:r w:rsidRPr="006F1EE1">
              <w:rPr>
                <w:sz w:val="18"/>
                <w:szCs w:val="18"/>
              </w:rPr>
              <w:t>Once approval is received MSF plans to roll out GeneXpert as part of its routine testing (with MSF funding).</w:t>
            </w:r>
          </w:p>
        </w:tc>
      </w:tr>
      <w:tr w:rsidR="00D97E3B" w14:paraId="3F1A557A" w14:textId="77777777" w:rsidTr="00894BCA">
        <w:tc>
          <w:tcPr>
            <w:tcW w:w="0" w:type="auto"/>
          </w:tcPr>
          <w:p w14:paraId="4D09A327" w14:textId="77777777" w:rsidR="00D97E3B" w:rsidRPr="006F1EE1" w:rsidRDefault="00D97E3B" w:rsidP="00873066">
            <w:pPr>
              <w:pStyle w:val="CEPATabletext"/>
              <w:rPr>
                <w:sz w:val="18"/>
                <w:szCs w:val="18"/>
              </w:rPr>
            </w:pPr>
            <w:r w:rsidRPr="006F1EE1">
              <w:rPr>
                <w:sz w:val="18"/>
                <w:szCs w:val="18"/>
              </w:rPr>
              <w:t>Lesotho OCB</w:t>
            </w:r>
          </w:p>
        </w:tc>
        <w:tc>
          <w:tcPr>
            <w:tcW w:w="3138" w:type="dxa"/>
          </w:tcPr>
          <w:p w14:paraId="05C4FB4B" w14:textId="77777777" w:rsidR="00D97E3B" w:rsidRPr="006F1EE1" w:rsidRDefault="00D97E3B" w:rsidP="00873066">
            <w:pPr>
              <w:pStyle w:val="CEPATabletext"/>
              <w:ind w:left="-10"/>
              <w:rPr>
                <w:sz w:val="18"/>
                <w:szCs w:val="18"/>
              </w:rPr>
            </w:pPr>
            <w:r w:rsidRPr="006F1EE1">
              <w:rPr>
                <w:sz w:val="18"/>
                <w:szCs w:val="18"/>
              </w:rPr>
              <w:t>PIMA CD4 installed, Roche VL not installed but VL testing through Durban lab,  EID not included</w:t>
            </w:r>
          </w:p>
          <w:p w14:paraId="70E923D7" w14:textId="77777777" w:rsidR="00D97E3B" w:rsidRPr="006F1EE1" w:rsidRDefault="00D97E3B" w:rsidP="00873066">
            <w:pPr>
              <w:pStyle w:val="CEPATabletext"/>
              <w:ind w:left="-10"/>
              <w:rPr>
                <w:sz w:val="18"/>
                <w:szCs w:val="18"/>
              </w:rPr>
            </w:pPr>
            <w:r w:rsidRPr="006F1EE1">
              <w:rPr>
                <w:sz w:val="18"/>
                <w:szCs w:val="18"/>
              </w:rPr>
              <w:t>Triggered VL supported initially, and MOH willingness to change to routine also on account of advocacy of the project; routine VL guidelines to be implemented from April 2014; CD4 and VL monitoring done concomitantly</w:t>
            </w:r>
          </w:p>
          <w:p w14:paraId="3B10E6C4" w14:textId="77777777" w:rsidR="00D97E3B" w:rsidRPr="006F1EE1" w:rsidRDefault="00D97E3B" w:rsidP="00873066">
            <w:pPr>
              <w:pStyle w:val="CEPATabletext"/>
              <w:ind w:left="-10"/>
              <w:rPr>
                <w:sz w:val="18"/>
                <w:szCs w:val="18"/>
              </w:rPr>
            </w:pPr>
            <w:r w:rsidRPr="006F1EE1">
              <w:rPr>
                <w:sz w:val="18"/>
                <w:szCs w:val="18"/>
              </w:rPr>
              <w:t>catchment moved from plasma sample for VL to DBS samples, transport issues resolved</w:t>
            </w:r>
          </w:p>
          <w:p w14:paraId="1271CA31" w14:textId="77777777" w:rsidR="00D97E3B" w:rsidRPr="006F1EE1" w:rsidRDefault="00D97E3B" w:rsidP="00873066">
            <w:pPr>
              <w:pStyle w:val="CEPATabletext"/>
              <w:ind w:left="-10"/>
              <w:rPr>
                <w:sz w:val="18"/>
                <w:szCs w:val="18"/>
              </w:rPr>
            </w:pPr>
            <w:r w:rsidRPr="006F1EE1">
              <w:rPr>
                <w:sz w:val="18"/>
                <w:szCs w:val="18"/>
              </w:rPr>
              <w:t>2nd line drugs available</w:t>
            </w:r>
          </w:p>
        </w:tc>
        <w:tc>
          <w:tcPr>
            <w:tcW w:w="3138" w:type="dxa"/>
          </w:tcPr>
          <w:p w14:paraId="32667D3D" w14:textId="77777777" w:rsidR="00D97E3B" w:rsidRPr="006F1EE1" w:rsidRDefault="00D97E3B" w:rsidP="00873066">
            <w:pPr>
              <w:pStyle w:val="CEPATabletext"/>
              <w:ind w:left="-10"/>
              <w:rPr>
                <w:sz w:val="18"/>
                <w:szCs w:val="18"/>
              </w:rPr>
            </w:pPr>
            <w:r w:rsidRPr="006F1EE1">
              <w:rPr>
                <w:sz w:val="18"/>
                <w:szCs w:val="18"/>
              </w:rPr>
              <w:t>VL sample processing started in August 2015.</w:t>
            </w:r>
          </w:p>
          <w:p w14:paraId="20DF52EC" w14:textId="77777777" w:rsidR="00D97E3B" w:rsidRPr="006F1EE1" w:rsidRDefault="00D97E3B" w:rsidP="00873066">
            <w:pPr>
              <w:pStyle w:val="CEPATabletext"/>
              <w:ind w:left="-10"/>
              <w:rPr>
                <w:sz w:val="18"/>
                <w:szCs w:val="18"/>
              </w:rPr>
            </w:pPr>
            <w:r w:rsidRPr="006F1EE1">
              <w:rPr>
                <w:sz w:val="18"/>
                <w:szCs w:val="18"/>
              </w:rPr>
              <w:t>Back-log of EID samples resolved by end of July.</w:t>
            </w:r>
          </w:p>
          <w:p w14:paraId="327CDF55" w14:textId="77777777" w:rsidR="00D97E3B" w:rsidRPr="006F1EE1" w:rsidRDefault="00D97E3B" w:rsidP="00873066">
            <w:pPr>
              <w:pStyle w:val="CEPATabletext"/>
              <w:ind w:left="-10"/>
              <w:rPr>
                <w:sz w:val="18"/>
                <w:szCs w:val="18"/>
              </w:rPr>
            </w:pPr>
            <w:r w:rsidRPr="006F1EE1">
              <w:rPr>
                <w:sz w:val="18"/>
                <w:szCs w:val="18"/>
              </w:rPr>
              <w:t>Majority of 2014, Roche platform in national research laboratory only used for EID (ie not sufficiently processing EID and VL).</w:t>
            </w:r>
          </w:p>
          <w:p w14:paraId="7B90912C" w14:textId="77777777" w:rsidR="00D97E3B" w:rsidRPr="006F1EE1" w:rsidRDefault="00D97E3B" w:rsidP="00873066">
            <w:pPr>
              <w:pStyle w:val="CEPATabletext"/>
              <w:ind w:left="-10"/>
              <w:rPr>
                <w:sz w:val="18"/>
                <w:szCs w:val="18"/>
              </w:rPr>
            </w:pPr>
            <w:r w:rsidRPr="006F1EE1">
              <w:rPr>
                <w:sz w:val="18"/>
                <w:szCs w:val="18"/>
              </w:rPr>
              <w:t>PoC CD4 Alere PIMA continue to run in all 9 clinics.</w:t>
            </w:r>
          </w:p>
          <w:p w14:paraId="741E4842" w14:textId="51BFC8A9" w:rsidR="00D97E3B" w:rsidRPr="006F1EE1" w:rsidRDefault="00D97E3B" w:rsidP="00873066">
            <w:pPr>
              <w:pStyle w:val="CEPATabletext"/>
              <w:ind w:left="-10"/>
              <w:rPr>
                <w:sz w:val="18"/>
                <w:szCs w:val="18"/>
              </w:rPr>
            </w:pPr>
            <w:r w:rsidRPr="006F1EE1">
              <w:rPr>
                <w:sz w:val="18"/>
                <w:szCs w:val="18"/>
              </w:rPr>
              <w:t xml:space="preserve">Supply of PIMA CD4 for Semonkong transferred to </w:t>
            </w:r>
            <w:r w:rsidR="00B61C4F">
              <w:rPr>
                <w:sz w:val="18"/>
                <w:szCs w:val="18"/>
              </w:rPr>
              <w:t>MOH</w:t>
            </w:r>
            <w:r w:rsidRPr="006F1EE1">
              <w:rPr>
                <w:sz w:val="18"/>
                <w:szCs w:val="18"/>
              </w:rPr>
              <w:t xml:space="preserve"> supply chain system; transfer of Roma catchment delayed by gap in including the forecast at national level. </w:t>
            </w:r>
          </w:p>
          <w:p w14:paraId="48C6EECF" w14:textId="77777777" w:rsidR="00D97E3B" w:rsidRPr="006F1EE1" w:rsidRDefault="00D97E3B" w:rsidP="00873066">
            <w:pPr>
              <w:pStyle w:val="CEPATabletext"/>
              <w:ind w:left="-10"/>
              <w:rPr>
                <w:sz w:val="18"/>
                <w:szCs w:val="18"/>
              </w:rPr>
            </w:pPr>
            <w:r w:rsidRPr="006F1EE1">
              <w:rPr>
                <w:sz w:val="18"/>
                <w:szCs w:val="18"/>
              </w:rPr>
              <w:t>Routine VL incorporated into national ART guidelines, though country only able to provide routine VL monitoring for targeted groups.</w:t>
            </w:r>
          </w:p>
          <w:p w14:paraId="12C44528" w14:textId="77777777" w:rsidR="00D97E3B" w:rsidRPr="006F1EE1" w:rsidRDefault="00D97E3B" w:rsidP="00873066">
            <w:pPr>
              <w:pStyle w:val="CEPATabletext"/>
              <w:ind w:left="-10"/>
              <w:rPr>
                <w:sz w:val="18"/>
                <w:szCs w:val="18"/>
              </w:rPr>
            </w:pPr>
            <w:r w:rsidRPr="006F1EE1">
              <w:rPr>
                <w:sz w:val="18"/>
                <w:szCs w:val="18"/>
              </w:rPr>
              <w:t>Supply chain for 2</w:t>
            </w:r>
            <w:r w:rsidRPr="006F1EE1">
              <w:rPr>
                <w:sz w:val="18"/>
                <w:szCs w:val="18"/>
                <w:vertAlign w:val="superscript"/>
              </w:rPr>
              <w:t>nd</w:t>
            </w:r>
            <w:r w:rsidRPr="006F1EE1">
              <w:rPr>
                <w:sz w:val="18"/>
                <w:szCs w:val="18"/>
              </w:rPr>
              <w:t xml:space="preserve"> line weak (and centralised), posing risks to scalability. </w:t>
            </w:r>
          </w:p>
          <w:p w14:paraId="0E9DCDBA" w14:textId="77777777" w:rsidR="00D97E3B" w:rsidRPr="006F1EE1" w:rsidRDefault="00D97E3B" w:rsidP="00873066">
            <w:pPr>
              <w:pStyle w:val="CEPATabletext"/>
              <w:ind w:left="-10"/>
              <w:rPr>
                <w:sz w:val="18"/>
                <w:szCs w:val="18"/>
              </w:rPr>
            </w:pPr>
            <w:r w:rsidRPr="006F1EE1">
              <w:rPr>
                <w:sz w:val="18"/>
                <w:szCs w:val="18"/>
              </w:rPr>
              <w:t>Health-workers trained on cold chain maintenance for plasma transport.</w:t>
            </w:r>
          </w:p>
        </w:tc>
        <w:tc>
          <w:tcPr>
            <w:tcW w:w="3138" w:type="dxa"/>
          </w:tcPr>
          <w:p w14:paraId="56EA02E7" w14:textId="4581D229" w:rsidR="00D97E3B" w:rsidRPr="006F1EE1" w:rsidRDefault="00D97E3B" w:rsidP="00873066">
            <w:pPr>
              <w:pStyle w:val="CEPATabletext"/>
              <w:ind w:left="-10"/>
              <w:rPr>
                <w:sz w:val="18"/>
                <w:szCs w:val="18"/>
              </w:rPr>
            </w:pPr>
            <w:r w:rsidRPr="006F1EE1">
              <w:rPr>
                <w:sz w:val="18"/>
                <w:szCs w:val="18"/>
              </w:rPr>
              <w:t xml:space="preserve">Operations at 9 facilities handed over to </w:t>
            </w:r>
            <w:r w:rsidR="00B61C4F">
              <w:rPr>
                <w:sz w:val="18"/>
                <w:szCs w:val="18"/>
              </w:rPr>
              <w:t>MOH</w:t>
            </w:r>
            <w:r w:rsidRPr="006F1EE1">
              <w:rPr>
                <w:sz w:val="18"/>
                <w:szCs w:val="18"/>
              </w:rPr>
              <w:t>/EGPAF according to original plans. MSF withdrawal from Lesotho.</w:t>
            </w:r>
          </w:p>
          <w:p w14:paraId="6A7E49CF" w14:textId="29886D76" w:rsidR="00D97E3B" w:rsidRPr="006F1EE1" w:rsidRDefault="00B61C4F" w:rsidP="00873066">
            <w:pPr>
              <w:pStyle w:val="CEPATabletext"/>
              <w:ind w:left="-10"/>
              <w:rPr>
                <w:sz w:val="18"/>
                <w:szCs w:val="18"/>
              </w:rPr>
            </w:pPr>
            <w:r>
              <w:rPr>
                <w:sz w:val="18"/>
                <w:szCs w:val="18"/>
              </w:rPr>
              <w:t>MOH</w:t>
            </w:r>
            <w:r w:rsidR="00D97E3B" w:rsidRPr="006F1EE1">
              <w:rPr>
                <w:sz w:val="18"/>
                <w:szCs w:val="18"/>
              </w:rPr>
              <w:t xml:space="preserve"> reportedly lacked HR capacity and appropriate molecular platform to perform routine VL DBS monitoring for all the MSF HIV cohort, but declined to sign a renewed </w:t>
            </w:r>
            <w:r w:rsidR="00BC6B8E">
              <w:rPr>
                <w:sz w:val="18"/>
                <w:szCs w:val="18"/>
              </w:rPr>
              <w:t>MOU</w:t>
            </w:r>
            <w:r w:rsidR="00D97E3B" w:rsidRPr="006F1EE1">
              <w:rPr>
                <w:sz w:val="18"/>
                <w:szCs w:val="18"/>
              </w:rPr>
              <w:t xml:space="preserve"> with MSF [which the author attributes to obstruction from NGO Partners in Health]. An agreement was negotiated end-2015 for EGPAF to continue providing direct support as MSF had done previously, with partial funding from </w:t>
            </w:r>
            <w:r w:rsidR="00B55E9C">
              <w:rPr>
                <w:sz w:val="18"/>
                <w:szCs w:val="18"/>
              </w:rPr>
              <w:t>Unitaid</w:t>
            </w:r>
            <w:r w:rsidR="00D97E3B" w:rsidRPr="006F1EE1">
              <w:rPr>
                <w:sz w:val="18"/>
                <w:szCs w:val="18"/>
              </w:rPr>
              <w:t xml:space="preserve">. Leftover PIMA cartridges &amp; devices donated to </w:t>
            </w:r>
            <w:r>
              <w:rPr>
                <w:sz w:val="18"/>
                <w:szCs w:val="18"/>
              </w:rPr>
              <w:t>MOH</w:t>
            </w:r>
            <w:r w:rsidR="00D97E3B" w:rsidRPr="006F1EE1">
              <w:rPr>
                <w:sz w:val="18"/>
                <w:szCs w:val="18"/>
              </w:rPr>
              <w:t>.</w:t>
            </w:r>
          </w:p>
          <w:p w14:paraId="09E267A3" w14:textId="71DC0A8D" w:rsidR="00D97E3B" w:rsidRPr="006F1EE1" w:rsidRDefault="00B61C4F" w:rsidP="00873066">
            <w:pPr>
              <w:pStyle w:val="CEPATabletext"/>
              <w:ind w:left="-10"/>
              <w:rPr>
                <w:sz w:val="18"/>
                <w:szCs w:val="18"/>
              </w:rPr>
            </w:pPr>
            <w:r>
              <w:rPr>
                <w:sz w:val="18"/>
                <w:szCs w:val="18"/>
              </w:rPr>
              <w:t>MOH</w:t>
            </w:r>
            <w:r w:rsidR="00D97E3B" w:rsidRPr="006F1EE1">
              <w:rPr>
                <w:sz w:val="18"/>
                <w:szCs w:val="18"/>
              </w:rPr>
              <w:t xml:space="preserve"> up-dated its national routine VL roll-out plan, but next platform to be installed at NRL expected to be a Roche device, rather than DBS for VL.</w:t>
            </w:r>
          </w:p>
        </w:tc>
        <w:tc>
          <w:tcPr>
            <w:tcW w:w="3139" w:type="dxa"/>
          </w:tcPr>
          <w:p w14:paraId="4DAE9F19" w14:textId="679A22B2" w:rsidR="00D97E3B" w:rsidRPr="006F1EE1" w:rsidRDefault="00D97E3B" w:rsidP="00873066">
            <w:pPr>
              <w:pStyle w:val="CEPATabletext"/>
              <w:ind w:left="-10"/>
              <w:rPr>
                <w:sz w:val="18"/>
                <w:szCs w:val="18"/>
              </w:rPr>
            </w:pPr>
            <w:r w:rsidRPr="006F1EE1">
              <w:rPr>
                <w:sz w:val="18"/>
                <w:szCs w:val="18"/>
              </w:rPr>
              <w:t xml:space="preserve">In-country presence ended, but MSF used </w:t>
            </w:r>
            <w:r w:rsidR="00B55E9C">
              <w:rPr>
                <w:sz w:val="18"/>
                <w:szCs w:val="18"/>
              </w:rPr>
              <w:t>Unitaid</w:t>
            </w:r>
            <w:r w:rsidRPr="006F1EE1">
              <w:rPr>
                <w:sz w:val="18"/>
                <w:szCs w:val="18"/>
              </w:rPr>
              <w:t xml:space="preserve"> grant funds for expenses related to the shipping and processing of DBS samples in a laboratory in Durban, South Africa.</w:t>
            </w:r>
          </w:p>
        </w:tc>
      </w:tr>
      <w:tr w:rsidR="00D97E3B" w14:paraId="01F51006" w14:textId="77777777" w:rsidTr="00894BCA">
        <w:tc>
          <w:tcPr>
            <w:tcW w:w="0" w:type="auto"/>
          </w:tcPr>
          <w:p w14:paraId="704E0987" w14:textId="77777777" w:rsidR="00D97E3B" w:rsidRPr="006F1EE1" w:rsidRDefault="00D97E3B" w:rsidP="00873066">
            <w:pPr>
              <w:pStyle w:val="CEPATabletext"/>
              <w:rPr>
                <w:sz w:val="18"/>
                <w:szCs w:val="18"/>
              </w:rPr>
            </w:pPr>
            <w:r w:rsidRPr="006F1EE1">
              <w:rPr>
                <w:sz w:val="18"/>
                <w:szCs w:val="18"/>
              </w:rPr>
              <w:t>Malawi OCB</w:t>
            </w:r>
          </w:p>
        </w:tc>
        <w:tc>
          <w:tcPr>
            <w:tcW w:w="3138" w:type="dxa"/>
          </w:tcPr>
          <w:p w14:paraId="7CD06292" w14:textId="218DB664" w:rsidR="00D97E3B" w:rsidRPr="006F1EE1" w:rsidRDefault="007B10C8" w:rsidP="00873066">
            <w:pPr>
              <w:pStyle w:val="CEPATabletext"/>
              <w:ind w:left="-10"/>
              <w:rPr>
                <w:sz w:val="18"/>
                <w:szCs w:val="18"/>
              </w:rPr>
            </w:pPr>
            <w:r>
              <w:rPr>
                <w:sz w:val="18"/>
                <w:szCs w:val="18"/>
              </w:rPr>
              <w:t>BM</w:t>
            </w:r>
            <w:r w:rsidR="00D97E3B" w:rsidRPr="006F1EE1">
              <w:rPr>
                <w:sz w:val="18"/>
                <w:szCs w:val="18"/>
              </w:rPr>
              <w:t xml:space="preserve"> VL operational, scale up on DBS samples, VL monitoring algorithms developed and implemented</w:t>
            </w:r>
          </w:p>
          <w:p w14:paraId="616275D8" w14:textId="549AD4D9" w:rsidR="00D97E3B" w:rsidRPr="006F1EE1" w:rsidRDefault="00D97E3B" w:rsidP="00873066">
            <w:pPr>
              <w:pStyle w:val="CEPATabletext"/>
              <w:ind w:left="-10"/>
              <w:rPr>
                <w:sz w:val="18"/>
                <w:szCs w:val="18"/>
              </w:rPr>
            </w:pPr>
            <w:r w:rsidRPr="006F1EE1">
              <w:rPr>
                <w:sz w:val="18"/>
                <w:szCs w:val="18"/>
              </w:rPr>
              <w:t>lab based VL testing for all ART patients (</w:t>
            </w:r>
            <w:r w:rsidR="00B61C4F">
              <w:rPr>
                <w:sz w:val="18"/>
                <w:szCs w:val="18"/>
              </w:rPr>
              <w:t>MOH</w:t>
            </w:r>
            <w:r w:rsidRPr="006F1EE1">
              <w:rPr>
                <w:sz w:val="18"/>
                <w:szCs w:val="18"/>
              </w:rPr>
              <w:t xml:space="preserve"> algorithm) using whole blood and DBS samples, training material developed, 2nd line initiations only in district hospital</w:t>
            </w:r>
          </w:p>
          <w:p w14:paraId="194FD496" w14:textId="77777777" w:rsidR="00D97E3B" w:rsidRPr="006F1EE1" w:rsidRDefault="00D97E3B" w:rsidP="00873066">
            <w:pPr>
              <w:pStyle w:val="CEPATabletext"/>
              <w:ind w:left="-10"/>
              <w:rPr>
                <w:sz w:val="18"/>
                <w:szCs w:val="18"/>
              </w:rPr>
            </w:pPr>
            <w:r w:rsidRPr="006F1EE1">
              <w:rPr>
                <w:sz w:val="18"/>
                <w:szCs w:val="18"/>
              </w:rPr>
              <w:t>2011 Malawian HIV National guideline: VL routine monitoring at 6M, 24 M 48M years after ART initiation. New guidelines expected in Q2 2014.</w:t>
            </w:r>
          </w:p>
          <w:p w14:paraId="269B2E4C" w14:textId="52E45D5A" w:rsidR="00D97E3B" w:rsidRPr="006F1EE1" w:rsidRDefault="00D97E3B" w:rsidP="00873066">
            <w:pPr>
              <w:pStyle w:val="CEPATabletext"/>
              <w:ind w:left="-10"/>
              <w:rPr>
                <w:sz w:val="18"/>
                <w:szCs w:val="18"/>
              </w:rPr>
            </w:pPr>
            <w:r w:rsidRPr="006F1EE1">
              <w:rPr>
                <w:sz w:val="18"/>
                <w:szCs w:val="18"/>
              </w:rPr>
              <w:t xml:space="preserve">Finger prick DBS was endorsed by the National </w:t>
            </w:r>
            <w:r w:rsidR="00B61C4F">
              <w:rPr>
                <w:sz w:val="18"/>
                <w:szCs w:val="18"/>
              </w:rPr>
              <w:t>MOH</w:t>
            </w:r>
            <w:r w:rsidRPr="006F1EE1">
              <w:rPr>
                <w:sz w:val="18"/>
                <w:szCs w:val="18"/>
              </w:rPr>
              <w:t xml:space="preserve"> in June/July 2013. MSF finger-prick study supporting evidence. Implemented Q4/2013</w:t>
            </w:r>
          </w:p>
          <w:p w14:paraId="2A4BEF1B" w14:textId="1DDE1B57" w:rsidR="00D97E3B" w:rsidRPr="006F1EE1" w:rsidRDefault="00D97E3B" w:rsidP="00873066">
            <w:pPr>
              <w:pStyle w:val="CEPATabletext"/>
              <w:ind w:left="-10"/>
              <w:rPr>
                <w:sz w:val="18"/>
                <w:szCs w:val="18"/>
              </w:rPr>
            </w:pPr>
            <w:r w:rsidRPr="006F1EE1">
              <w:rPr>
                <w:sz w:val="18"/>
                <w:szCs w:val="18"/>
              </w:rPr>
              <w:t xml:space="preserve">national VL database  adapted to use with the </w:t>
            </w:r>
            <w:r w:rsidR="007B10C8">
              <w:rPr>
                <w:sz w:val="18"/>
                <w:szCs w:val="18"/>
              </w:rPr>
              <w:t>BM platform.</w:t>
            </w:r>
          </w:p>
          <w:p w14:paraId="3E209BF3" w14:textId="6CCBA3AE" w:rsidR="00D97E3B" w:rsidRPr="006F1EE1" w:rsidRDefault="00D97E3B" w:rsidP="00873066">
            <w:pPr>
              <w:pStyle w:val="CEPATabletext"/>
              <w:ind w:left="-10"/>
              <w:rPr>
                <w:sz w:val="18"/>
                <w:szCs w:val="18"/>
              </w:rPr>
            </w:pPr>
            <w:r w:rsidRPr="006F1EE1">
              <w:rPr>
                <w:sz w:val="18"/>
                <w:szCs w:val="18"/>
              </w:rPr>
              <w:t xml:space="preserve">Sustainability: meetings held between MSF and </w:t>
            </w:r>
            <w:r w:rsidR="00B61C4F">
              <w:rPr>
                <w:sz w:val="18"/>
                <w:szCs w:val="18"/>
              </w:rPr>
              <w:t>MOH</w:t>
            </w:r>
            <w:r w:rsidRPr="006F1EE1">
              <w:rPr>
                <w:sz w:val="18"/>
                <w:szCs w:val="18"/>
              </w:rPr>
              <w:t>, including lab TWGs, results of the DBS-FP roll out pilot provided evidence for national guidelines</w:t>
            </w:r>
          </w:p>
        </w:tc>
        <w:tc>
          <w:tcPr>
            <w:tcW w:w="3138" w:type="dxa"/>
          </w:tcPr>
          <w:p w14:paraId="040B9B83" w14:textId="77777777" w:rsidR="00D97E3B" w:rsidRPr="006F1EE1" w:rsidRDefault="00D97E3B" w:rsidP="00873066">
            <w:pPr>
              <w:pStyle w:val="CEPATabletext"/>
              <w:ind w:left="-10"/>
              <w:rPr>
                <w:sz w:val="18"/>
                <w:szCs w:val="18"/>
              </w:rPr>
            </w:pPr>
            <w:r w:rsidRPr="006F1EE1">
              <w:rPr>
                <w:sz w:val="18"/>
                <w:szCs w:val="18"/>
              </w:rPr>
              <w:t xml:space="preserve">Requirement for quality certification slowed down ability to roll out VL testing on DBS on Abbott platforms. </w:t>
            </w:r>
          </w:p>
          <w:p w14:paraId="4C59A916" w14:textId="77777777" w:rsidR="00D97E3B" w:rsidRPr="006F1EE1" w:rsidRDefault="00D97E3B" w:rsidP="00873066">
            <w:pPr>
              <w:pStyle w:val="CEPATabletext"/>
              <w:ind w:left="-10"/>
              <w:rPr>
                <w:sz w:val="18"/>
                <w:szCs w:val="18"/>
              </w:rPr>
            </w:pPr>
            <w:r w:rsidRPr="006F1EE1">
              <w:rPr>
                <w:sz w:val="18"/>
                <w:szCs w:val="18"/>
              </w:rPr>
              <w:t>Change of procurement strategy: from purchase to rent of the Abbott machine.</w:t>
            </w:r>
          </w:p>
          <w:p w14:paraId="26B8892F" w14:textId="77777777" w:rsidR="00D97E3B" w:rsidRPr="006F1EE1" w:rsidRDefault="00D97E3B" w:rsidP="00873066">
            <w:pPr>
              <w:pStyle w:val="CEPATabletext"/>
              <w:ind w:left="-10"/>
              <w:rPr>
                <w:sz w:val="18"/>
                <w:szCs w:val="18"/>
              </w:rPr>
            </w:pPr>
            <w:r w:rsidRPr="006F1EE1">
              <w:rPr>
                <w:sz w:val="18"/>
                <w:szCs w:val="18"/>
              </w:rPr>
              <w:t>Pooling (for transport) implemented in January 2014.</w:t>
            </w:r>
          </w:p>
          <w:p w14:paraId="1073A1E6" w14:textId="5B534A90" w:rsidR="00D97E3B" w:rsidRPr="006F1EE1" w:rsidRDefault="00D97E3B" w:rsidP="00873066">
            <w:pPr>
              <w:pStyle w:val="CEPATabletext"/>
              <w:ind w:left="-10"/>
              <w:rPr>
                <w:sz w:val="18"/>
                <w:szCs w:val="18"/>
              </w:rPr>
            </w:pPr>
            <w:r w:rsidRPr="006F1EE1">
              <w:rPr>
                <w:sz w:val="18"/>
                <w:szCs w:val="18"/>
              </w:rPr>
              <w:t>Active communications &amp; advocacy -</w:t>
            </w:r>
            <w:r w:rsidRPr="006F1EE1">
              <w:rPr>
                <w:sz w:val="18"/>
                <w:szCs w:val="18"/>
              </w:rPr>
              <w:tab/>
              <w:t xml:space="preserve">e.g. local media covered a </w:t>
            </w:r>
            <w:r w:rsidR="007B10C8">
              <w:rPr>
                <w:sz w:val="18"/>
                <w:szCs w:val="18"/>
              </w:rPr>
              <w:t>VL</w:t>
            </w:r>
            <w:r w:rsidRPr="006F1EE1">
              <w:rPr>
                <w:sz w:val="18"/>
                <w:szCs w:val="18"/>
              </w:rPr>
              <w:t xml:space="preserve"> play that MSF created with Community ART Group members to encourage enrolment.</w:t>
            </w:r>
          </w:p>
          <w:p w14:paraId="3F16B585" w14:textId="77777777" w:rsidR="00D97E3B" w:rsidRPr="006F1EE1" w:rsidRDefault="00D97E3B" w:rsidP="00873066">
            <w:pPr>
              <w:pStyle w:val="CEPATabletext"/>
              <w:ind w:left="-10"/>
              <w:rPr>
                <w:sz w:val="18"/>
                <w:szCs w:val="18"/>
              </w:rPr>
            </w:pPr>
            <w:r w:rsidRPr="006F1EE1">
              <w:rPr>
                <w:sz w:val="18"/>
                <w:szCs w:val="18"/>
              </w:rPr>
              <w:t>Thyolo District Hospital achieved VL target.</w:t>
            </w:r>
          </w:p>
        </w:tc>
        <w:tc>
          <w:tcPr>
            <w:tcW w:w="3138" w:type="dxa"/>
          </w:tcPr>
          <w:p w14:paraId="653E754C" w14:textId="256055FF" w:rsidR="00D97E3B" w:rsidRPr="006F1EE1" w:rsidRDefault="003C6684" w:rsidP="00873066">
            <w:pPr>
              <w:pStyle w:val="CEPATabletext"/>
              <w:ind w:left="-10"/>
              <w:rPr>
                <w:sz w:val="18"/>
                <w:szCs w:val="18"/>
              </w:rPr>
            </w:pPr>
            <w:r>
              <w:rPr>
                <w:sz w:val="18"/>
                <w:szCs w:val="18"/>
              </w:rPr>
              <w:t>Hand-over</w:t>
            </w:r>
            <w:r w:rsidR="00D97E3B" w:rsidRPr="006F1EE1">
              <w:rPr>
                <w:sz w:val="18"/>
                <w:szCs w:val="18"/>
              </w:rPr>
              <w:t xml:space="preserve"> to </w:t>
            </w:r>
            <w:r w:rsidR="00B61C4F">
              <w:rPr>
                <w:sz w:val="18"/>
                <w:szCs w:val="18"/>
              </w:rPr>
              <w:t>MOH</w:t>
            </w:r>
            <w:r w:rsidR="00D97E3B" w:rsidRPr="006F1EE1">
              <w:rPr>
                <w:sz w:val="18"/>
                <w:szCs w:val="18"/>
              </w:rPr>
              <w:t xml:space="preserve"> on 31</w:t>
            </w:r>
            <w:r w:rsidR="00D97E3B" w:rsidRPr="006F1EE1">
              <w:rPr>
                <w:sz w:val="18"/>
                <w:szCs w:val="18"/>
                <w:vertAlign w:val="superscript"/>
              </w:rPr>
              <w:t>st</w:t>
            </w:r>
            <w:r w:rsidR="00D97E3B" w:rsidRPr="006F1EE1">
              <w:rPr>
                <w:sz w:val="18"/>
                <w:szCs w:val="18"/>
              </w:rPr>
              <w:t xml:space="preserve"> December 2015.</w:t>
            </w:r>
          </w:p>
          <w:p w14:paraId="2826D77A" w14:textId="732D89F7" w:rsidR="00D97E3B" w:rsidRPr="006F1EE1" w:rsidRDefault="00D97E3B" w:rsidP="00873066">
            <w:pPr>
              <w:pStyle w:val="CEPATabletext"/>
              <w:ind w:left="-10"/>
              <w:rPr>
                <w:sz w:val="18"/>
                <w:szCs w:val="18"/>
              </w:rPr>
            </w:pPr>
            <w:r w:rsidRPr="006F1EE1">
              <w:rPr>
                <w:sz w:val="18"/>
                <w:szCs w:val="18"/>
              </w:rPr>
              <w:t xml:space="preserve">VL platform in Thyolo changed from </w:t>
            </w:r>
            <w:r w:rsidR="007B10C8">
              <w:rPr>
                <w:sz w:val="18"/>
                <w:szCs w:val="18"/>
              </w:rPr>
              <w:t>BM</w:t>
            </w:r>
            <w:r w:rsidRPr="006F1EE1">
              <w:rPr>
                <w:sz w:val="18"/>
                <w:szCs w:val="18"/>
              </w:rPr>
              <w:t xml:space="preserve"> to Abbott through a rental agreement plan as </w:t>
            </w:r>
            <w:r w:rsidR="00B61C4F">
              <w:rPr>
                <w:sz w:val="18"/>
                <w:szCs w:val="18"/>
              </w:rPr>
              <w:t>MOH</w:t>
            </w:r>
            <w:r w:rsidRPr="006F1EE1">
              <w:rPr>
                <w:sz w:val="18"/>
                <w:szCs w:val="18"/>
              </w:rPr>
              <w:t xml:space="preserve"> staff were trained in Abbott.</w:t>
            </w:r>
          </w:p>
          <w:p w14:paraId="75252840" w14:textId="77777777" w:rsidR="00D97E3B" w:rsidRPr="006F1EE1" w:rsidRDefault="00D97E3B" w:rsidP="00873066">
            <w:pPr>
              <w:pStyle w:val="CEPATabletext"/>
              <w:ind w:left="-10"/>
              <w:rPr>
                <w:sz w:val="18"/>
                <w:szCs w:val="18"/>
              </w:rPr>
            </w:pPr>
            <w:r w:rsidRPr="006F1EE1">
              <w:rPr>
                <w:sz w:val="18"/>
                <w:szCs w:val="18"/>
              </w:rPr>
              <w:t>Rental agreement plan not yet signed.</w:t>
            </w:r>
          </w:p>
          <w:p w14:paraId="2D8623A6" w14:textId="3512B441" w:rsidR="00D97E3B" w:rsidRPr="006F1EE1" w:rsidRDefault="00D97E3B" w:rsidP="00873066">
            <w:pPr>
              <w:pStyle w:val="CEPATabletext"/>
              <w:ind w:left="-10"/>
              <w:rPr>
                <w:sz w:val="18"/>
                <w:szCs w:val="18"/>
              </w:rPr>
            </w:pPr>
            <w:r w:rsidRPr="006F1EE1">
              <w:rPr>
                <w:sz w:val="18"/>
                <w:szCs w:val="18"/>
              </w:rPr>
              <w:t xml:space="preserve">MSF requested </w:t>
            </w:r>
            <w:r w:rsidR="00B55E9C">
              <w:rPr>
                <w:sz w:val="18"/>
                <w:szCs w:val="18"/>
              </w:rPr>
              <w:t>Unitaid</w:t>
            </w:r>
            <w:r w:rsidRPr="006F1EE1">
              <w:rPr>
                <w:sz w:val="18"/>
                <w:szCs w:val="18"/>
              </w:rPr>
              <w:t xml:space="preserve"> for feasibility analysis of setting up VL provision in the shape of a not-for-profit trust in response to </w:t>
            </w:r>
            <w:r w:rsidR="00B61C4F">
              <w:rPr>
                <w:sz w:val="18"/>
                <w:szCs w:val="18"/>
              </w:rPr>
              <w:t>MOH</w:t>
            </w:r>
            <w:r w:rsidRPr="006F1EE1">
              <w:rPr>
                <w:sz w:val="18"/>
                <w:szCs w:val="18"/>
              </w:rPr>
              <w:t xml:space="preserve"> reagent stock-outs.</w:t>
            </w:r>
          </w:p>
        </w:tc>
        <w:tc>
          <w:tcPr>
            <w:tcW w:w="3139" w:type="dxa"/>
          </w:tcPr>
          <w:p w14:paraId="0E126FA6" w14:textId="77777777" w:rsidR="00D97E3B" w:rsidRPr="006F1EE1" w:rsidRDefault="00D97E3B" w:rsidP="00873066">
            <w:pPr>
              <w:pStyle w:val="CEPATabletext"/>
              <w:ind w:left="-10"/>
              <w:rPr>
                <w:sz w:val="18"/>
                <w:szCs w:val="18"/>
              </w:rPr>
            </w:pPr>
            <w:r w:rsidRPr="006F1EE1">
              <w:rPr>
                <w:sz w:val="18"/>
                <w:szCs w:val="18"/>
              </w:rPr>
              <w:t>Operational activities ended.</w:t>
            </w:r>
          </w:p>
          <w:p w14:paraId="7451ECB2" w14:textId="329788FA" w:rsidR="00D97E3B" w:rsidRPr="006F1EE1" w:rsidRDefault="00B55E9C" w:rsidP="00873066">
            <w:pPr>
              <w:pStyle w:val="CEPATabletext"/>
              <w:ind w:left="-10"/>
              <w:rPr>
                <w:sz w:val="18"/>
                <w:szCs w:val="18"/>
              </w:rPr>
            </w:pPr>
            <w:r>
              <w:rPr>
                <w:sz w:val="18"/>
                <w:szCs w:val="18"/>
              </w:rPr>
              <w:t>Unitaid</w:t>
            </w:r>
            <w:r w:rsidR="00D97E3B" w:rsidRPr="006F1EE1">
              <w:rPr>
                <w:sz w:val="18"/>
                <w:szCs w:val="18"/>
              </w:rPr>
              <w:t xml:space="preserve"> funds used to support Queens lab with an additional lab technician and to temporarily process VL samples from Nsanje at Durban laboratory, SA.</w:t>
            </w:r>
          </w:p>
          <w:p w14:paraId="05F26E1D" w14:textId="77777777" w:rsidR="00D97E3B" w:rsidRPr="006F1EE1" w:rsidRDefault="00D97E3B" w:rsidP="00873066">
            <w:pPr>
              <w:pStyle w:val="CEPATabletext"/>
              <w:ind w:left="-10"/>
              <w:rPr>
                <w:sz w:val="18"/>
                <w:szCs w:val="18"/>
              </w:rPr>
            </w:pPr>
            <w:r w:rsidRPr="006F1EE1">
              <w:rPr>
                <w:sz w:val="18"/>
                <w:szCs w:val="18"/>
              </w:rPr>
              <w:t>Commenced a study to assess feasibility of EID and very early EID testing in a district hospital. A one-year enrolment period began in May 2016. Results expected H2 2017.</w:t>
            </w:r>
          </w:p>
          <w:p w14:paraId="40771558" w14:textId="77777777" w:rsidR="00D97E3B" w:rsidRPr="006F1EE1" w:rsidRDefault="00D97E3B" w:rsidP="00873066">
            <w:pPr>
              <w:pStyle w:val="CEPATabletext"/>
              <w:ind w:left="-10"/>
              <w:rPr>
                <w:sz w:val="18"/>
                <w:szCs w:val="18"/>
              </w:rPr>
            </w:pPr>
            <w:r w:rsidRPr="006F1EE1">
              <w:rPr>
                <w:sz w:val="18"/>
                <w:szCs w:val="18"/>
              </w:rPr>
              <w:t>Advocated for a public-private trust approach, but dropped business plan following lack of interest.</w:t>
            </w:r>
          </w:p>
          <w:p w14:paraId="337A9D66" w14:textId="77777777" w:rsidR="00D97E3B" w:rsidRPr="006F1EE1" w:rsidRDefault="00D97E3B" w:rsidP="00873066">
            <w:pPr>
              <w:pStyle w:val="CEPATabletext"/>
              <w:ind w:left="-10"/>
              <w:rPr>
                <w:sz w:val="18"/>
                <w:szCs w:val="18"/>
              </w:rPr>
            </w:pPr>
            <w:r w:rsidRPr="006F1EE1">
              <w:rPr>
                <w:sz w:val="18"/>
                <w:szCs w:val="18"/>
              </w:rPr>
              <w:t>Engaged with patient awareness campaigns.</w:t>
            </w:r>
          </w:p>
        </w:tc>
      </w:tr>
      <w:tr w:rsidR="00D97E3B" w14:paraId="57594609" w14:textId="77777777" w:rsidTr="00894BCA">
        <w:tc>
          <w:tcPr>
            <w:tcW w:w="0" w:type="auto"/>
          </w:tcPr>
          <w:p w14:paraId="317471F9" w14:textId="77777777" w:rsidR="00D97E3B" w:rsidRPr="006F1EE1" w:rsidRDefault="00D97E3B" w:rsidP="00873066">
            <w:pPr>
              <w:pStyle w:val="CEPATabletext"/>
              <w:rPr>
                <w:sz w:val="18"/>
                <w:szCs w:val="18"/>
              </w:rPr>
            </w:pPr>
            <w:r w:rsidRPr="006F1EE1">
              <w:rPr>
                <w:sz w:val="18"/>
                <w:szCs w:val="18"/>
              </w:rPr>
              <w:t>Malawi OCP</w:t>
            </w:r>
          </w:p>
        </w:tc>
        <w:tc>
          <w:tcPr>
            <w:tcW w:w="3138" w:type="dxa"/>
          </w:tcPr>
          <w:p w14:paraId="5B453559" w14:textId="77777777" w:rsidR="00D97E3B" w:rsidRPr="006F1EE1" w:rsidRDefault="00D97E3B" w:rsidP="00873066">
            <w:pPr>
              <w:pStyle w:val="CEPATabletext"/>
              <w:ind w:left="-10"/>
              <w:rPr>
                <w:sz w:val="18"/>
                <w:szCs w:val="18"/>
              </w:rPr>
            </w:pPr>
            <w:r w:rsidRPr="006F1EE1">
              <w:rPr>
                <w:sz w:val="18"/>
                <w:szCs w:val="18"/>
              </w:rPr>
              <w:t>First POC VL SAMBA and POC CD4 PIMA installed</w:t>
            </w:r>
          </w:p>
          <w:p w14:paraId="091C8AA6" w14:textId="2999EE44" w:rsidR="00D97E3B" w:rsidRPr="006F1EE1" w:rsidRDefault="00D97E3B" w:rsidP="00873066">
            <w:pPr>
              <w:pStyle w:val="CEPATabletext"/>
              <w:ind w:left="-10"/>
              <w:rPr>
                <w:sz w:val="18"/>
                <w:szCs w:val="18"/>
              </w:rPr>
            </w:pPr>
            <w:r w:rsidRPr="006F1EE1">
              <w:rPr>
                <w:sz w:val="18"/>
                <w:szCs w:val="18"/>
              </w:rPr>
              <w:t xml:space="preserve">Low uptake of VL; </w:t>
            </w:r>
            <w:r w:rsidR="00B61C4F">
              <w:rPr>
                <w:sz w:val="18"/>
                <w:szCs w:val="18"/>
              </w:rPr>
              <w:t>MOH</w:t>
            </w:r>
            <w:r w:rsidRPr="006F1EE1">
              <w:rPr>
                <w:sz w:val="18"/>
                <w:szCs w:val="18"/>
              </w:rPr>
              <w:t xml:space="preserve"> guidelines still being determined regarding 2nd line switch threshold;</w:t>
            </w:r>
          </w:p>
          <w:p w14:paraId="26FFCAB0" w14:textId="77777777" w:rsidR="00D97E3B" w:rsidRPr="006F1EE1" w:rsidRDefault="00D97E3B" w:rsidP="00873066">
            <w:pPr>
              <w:pStyle w:val="CEPATabletext"/>
              <w:ind w:left="-10"/>
              <w:rPr>
                <w:sz w:val="18"/>
                <w:szCs w:val="18"/>
              </w:rPr>
            </w:pPr>
            <w:r w:rsidRPr="006F1EE1">
              <w:rPr>
                <w:sz w:val="18"/>
                <w:szCs w:val="18"/>
              </w:rPr>
              <w:t>CD4 uptake higher than VL</w:t>
            </w:r>
          </w:p>
          <w:p w14:paraId="3E0F873F" w14:textId="77777777" w:rsidR="00D97E3B" w:rsidRPr="006F1EE1" w:rsidRDefault="00D97E3B" w:rsidP="00873066">
            <w:pPr>
              <w:pStyle w:val="CEPATabletext"/>
              <w:ind w:left="-10"/>
              <w:rPr>
                <w:sz w:val="18"/>
                <w:szCs w:val="18"/>
              </w:rPr>
            </w:pPr>
            <w:r w:rsidRPr="006F1EE1">
              <w:rPr>
                <w:sz w:val="18"/>
                <w:szCs w:val="18"/>
              </w:rPr>
              <w:t xml:space="preserve">EID not done (SAMBA not yet validated) </w:t>
            </w:r>
          </w:p>
        </w:tc>
        <w:tc>
          <w:tcPr>
            <w:tcW w:w="3138" w:type="dxa"/>
          </w:tcPr>
          <w:p w14:paraId="74C45666" w14:textId="77777777" w:rsidR="00D97E3B" w:rsidRPr="006F1EE1" w:rsidRDefault="00D97E3B" w:rsidP="00873066">
            <w:pPr>
              <w:pStyle w:val="CEPATabletext"/>
              <w:ind w:left="-10"/>
              <w:rPr>
                <w:sz w:val="18"/>
                <w:szCs w:val="18"/>
              </w:rPr>
            </w:pPr>
            <w:r w:rsidRPr="006F1EE1">
              <w:rPr>
                <w:sz w:val="18"/>
                <w:szCs w:val="18"/>
              </w:rPr>
              <w:t>Implementation of SAMBA 1 devices for VL and EID still on hold, pending ERPD feedback.</w:t>
            </w:r>
          </w:p>
          <w:p w14:paraId="2B337114" w14:textId="77777777" w:rsidR="00D97E3B" w:rsidRPr="006F1EE1" w:rsidRDefault="00D97E3B" w:rsidP="00873066">
            <w:pPr>
              <w:pStyle w:val="CEPATabletext"/>
              <w:ind w:left="-10"/>
              <w:rPr>
                <w:sz w:val="18"/>
                <w:szCs w:val="18"/>
              </w:rPr>
            </w:pPr>
            <w:r w:rsidRPr="006F1EE1">
              <w:rPr>
                <w:sz w:val="18"/>
                <w:szCs w:val="18"/>
              </w:rPr>
              <w:t xml:space="preserve">Requirement for quality certification slowed down ability to roll out VL testing on DBS on Abbott platforms. </w:t>
            </w:r>
          </w:p>
          <w:p w14:paraId="6F85E700" w14:textId="77777777" w:rsidR="00D97E3B" w:rsidRPr="006F1EE1" w:rsidRDefault="00D97E3B" w:rsidP="00873066">
            <w:pPr>
              <w:pStyle w:val="CEPATabletext"/>
              <w:ind w:left="-10"/>
              <w:rPr>
                <w:sz w:val="18"/>
                <w:szCs w:val="18"/>
              </w:rPr>
            </w:pPr>
            <w:r w:rsidRPr="006F1EE1">
              <w:rPr>
                <w:sz w:val="18"/>
                <w:szCs w:val="18"/>
              </w:rPr>
              <w:t>POC CD4 and VL testing started in Namadzi and Mbulumbuzi Health centres in November - total of 6 Facilities with POC activities.</w:t>
            </w:r>
          </w:p>
          <w:p w14:paraId="7EFBE9ED" w14:textId="77777777" w:rsidR="00D97E3B" w:rsidRPr="006F1EE1" w:rsidRDefault="00D97E3B" w:rsidP="00873066">
            <w:pPr>
              <w:pStyle w:val="CEPATabletext"/>
              <w:ind w:left="-10"/>
              <w:rPr>
                <w:sz w:val="18"/>
                <w:szCs w:val="18"/>
              </w:rPr>
            </w:pPr>
            <w:r w:rsidRPr="006F1EE1">
              <w:rPr>
                <w:sz w:val="18"/>
                <w:szCs w:val="18"/>
              </w:rPr>
              <w:t xml:space="preserve">Decision at Middle Annual plan in October 2014 not to implement POC tools in 4 of the 10 HCs (Nkalo, Thumbwe, Ndunde, Mauwa). </w:t>
            </w:r>
          </w:p>
          <w:p w14:paraId="214A1DEA" w14:textId="77777777" w:rsidR="00D97E3B" w:rsidRPr="006F1EE1" w:rsidRDefault="00D97E3B" w:rsidP="00873066">
            <w:pPr>
              <w:pStyle w:val="CEPATabletext"/>
              <w:ind w:left="-10"/>
              <w:rPr>
                <w:sz w:val="18"/>
                <w:szCs w:val="18"/>
              </w:rPr>
            </w:pPr>
            <w:r w:rsidRPr="006F1EE1">
              <w:rPr>
                <w:sz w:val="18"/>
                <w:szCs w:val="18"/>
              </w:rPr>
              <w:t xml:space="preserve">Milepa HC POC implementation still unclear depending on ERPD feedback for SAMBA 1, and safety of the building. </w:t>
            </w:r>
          </w:p>
          <w:p w14:paraId="336A5461" w14:textId="77777777" w:rsidR="00D97E3B" w:rsidRPr="006F1EE1" w:rsidRDefault="00D97E3B" w:rsidP="00873066">
            <w:pPr>
              <w:pStyle w:val="CEPATabletext"/>
              <w:ind w:left="-10"/>
              <w:rPr>
                <w:sz w:val="18"/>
                <w:szCs w:val="18"/>
              </w:rPr>
            </w:pPr>
            <w:r w:rsidRPr="006F1EE1">
              <w:rPr>
                <w:sz w:val="18"/>
                <w:szCs w:val="18"/>
              </w:rPr>
              <w:t>Task-shift PIMA CD4 study ongoing.  Task-shift study SAMBA 1 planned for Q1 2015.</w:t>
            </w:r>
          </w:p>
          <w:p w14:paraId="1133D3D3" w14:textId="11567994" w:rsidR="00D97E3B" w:rsidRPr="006F1EE1" w:rsidRDefault="00B61C4F" w:rsidP="00873066">
            <w:pPr>
              <w:pStyle w:val="CEPATabletext"/>
              <w:ind w:left="-10"/>
              <w:rPr>
                <w:sz w:val="18"/>
                <w:szCs w:val="18"/>
              </w:rPr>
            </w:pPr>
            <w:r>
              <w:rPr>
                <w:sz w:val="18"/>
                <w:szCs w:val="18"/>
              </w:rPr>
              <w:t>MOH</w:t>
            </w:r>
            <w:r w:rsidR="00D97E3B" w:rsidRPr="006F1EE1">
              <w:rPr>
                <w:sz w:val="18"/>
                <w:szCs w:val="18"/>
              </w:rPr>
              <w:t xml:space="preserve"> opted for centralized VL monitoring using DBS, not supporting of POC VL anymore. MSF granted some flexibility, to continue to use SAMBA.</w:t>
            </w:r>
          </w:p>
        </w:tc>
        <w:tc>
          <w:tcPr>
            <w:tcW w:w="3138" w:type="dxa"/>
          </w:tcPr>
          <w:p w14:paraId="0C51FD2D" w14:textId="77777777" w:rsidR="00D97E3B" w:rsidRPr="006F1EE1" w:rsidRDefault="00D97E3B" w:rsidP="00873066">
            <w:pPr>
              <w:pStyle w:val="CEPATabletext"/>
              <w:ind w:left="-10"/>
              <w:rPr>
                <w:sz w:val="18"/>
                <w:szCs w:val="18"/>
              </w:rPr>
            </w:pPr>
            <w:r w:rsidRPr="006F1EE1">
              <w:rPr>
                <w:sz w:val="18"/>
                <w:szCs w:val="18"/>
              </w:rPr>
              <w:t xml:space="preserve">SAMBA 1 component of Task-Shift Study completed at two health centres. </w:t>
            </w:r>
          </w:p>
          <w:p w14:paraId="406A71AD" w14:textId="77777777" w:rsidR="00D97E3B" w:rsidRPr="006F1EE1" w:rsidRDefault="00D97E3B" w:rsidP="00873066">
            <w:pPr>
              <w:pStyle w:val="CEPATabletext"/>
              <w:ind w:left="-10"/>
              <w:rPr>
                <w:sz w:val="18"/>
                <w:szCs w:val="18"/>
              </w:rPr>
            </w:pPr>
            <w:r w:rsidRPr="006F1EE1">
              <w:rPr>
                <w:sz w:val="18"/>
                <w:szCs w:val="18"/>
              </w:rPr>
              <w:t>Two community workers from each health centre trained in SAMBA-1.</w:t>
            </w:r>
          </w:p>
          <w:p w14:paraId="4E97DAE1" w14:textId="77777777" w:rsidR="00D97E3B" w:rsidRPr="006F1EE1" w:rsidRDefault="00D97E3B" w:rsidP="00873066">
            <w:pPr>
              <w:pStyle w:val="CEPATabletext"/>
              <w:ind w:left="-10"/>
              <w:rPr>
                <w:sz w:val="18"/>
                <w:szCs w:val="18"/>
              </w:rPr>
            </w:pPr>
            <w:r w:rsidRPr="006F1EE1">
              <w:rPr>
                <w:sz w:val="18"/>
                <w:szCs w:val="18"/>
              </w:rPr>
              <w:t>Roll-out of the MOH centralised routine VL testing service began in Chiradzulu district in Q2 2015 at the six health centres that do not have POC VL facilities.</w:t>
            </w:r>
          </w:p>
          <w:p w14:paraId="32B4CC32" w14:textId="77777777" w:rsidR="00D97E3B" w:rsidRPr="006F1EE1" w:rsidRDefault="00D97E3B" w:rsidP="00873066">
            <w:pPr>
              <w:pStyle w:val="CEPATabletext"/>
              <w:ind w:left="-10"/>
              <w:rPr>
                <w:sz w:val="18"/>
                <w:szCs w:val="18"/>
              </w:rPr>
            </w:pPr>
            <w:r w:rsidRPr="006F1EE1">
              <w:rPr>
                <w:sz w:val="18"/>
                <w:szCs w:val="18"/>
              </w:rPr>
              <w:t>DBS system is struggling with current sample load, resulting in long VL TAT (range from 2-4 months).</w:t>
            </w:r>
          </w:p>
          <w:p w14:paraId="5D0A6790" w14:textId="77777777" w:rsidR="00D97E3B" w:rsidRPr="006F1EE1" w:rsidRDefault="00D97E3B" w:rsidP="00873066">
            <w:pPr>
              <w:pStyle w:val="CEPATabletext"/>
              <w:rPr>
                <w:sz w:val="18"/>
                <w:szCs w:val="18"/>
              </w:rPr>
            </w:pPr>
          </w:p>
        </w:tc>
        <w:tc>
          <w:tcPr>
            <w:tcW w:w="3139" w:type="dxa"/>
          </w:tcPr>
          <w:p w14:paraId="7333F180" w14:textId="5EC6A12D" w:rsidR="00D97E3B" w:rsidRPr="006F1EE1" w:rsidRDefault="00D97E3B" w:rsidP="00873066">
            <w:pPr>
              <w:pStyle w:val="CEPATabletext"/>
              <w:ind w:left="-10"/>
              <w:rPr>
                <w:sz w:val="18"/>
                <w:szCs w:val="18"/>
              </w:rPr>
            </w:pPr>
            <w:r w:rsidRPr="006F1EE1">
              <w:rPr>
                <w:sz w:val="18"/>
                <w:szCs w:val="18"/>
              </w:rPr>
              <w:t xml:space="preserve">MSF has started to prepare the hand-over by strengthening the </w:t>
            </w:r>
            <w:r w:rsidR="00B61C4F">
              <w:rPr>
                <w:sz w:val="18"/>
                <w:szCs w:val="18"/>
              </w:rPr>
              <w:t>MOH</w:t>
            </w:r>
            <w:r w:rsidRPr="006F1EE1">
              <w:rPr>
                <w:sz w:val="18"/>
                <w:szCs w:val="18"/>
              </w:rPr>
              <w:t xml:space="preserve">’s capacity in terms of DBS VL. For instance, a VL alert and tracking system was developed and </w:t>
            </w:r>
            <w:r w:rsidR="00B61C4F">
              <w:rPr>
                <w:sz w:val="18"/>
                <w:szCs w:val="18"/>
              </w:rPr>
              <w:t>MOH</w:t>
            </w:r>
            <w:r w:rsidRPr="006F1EE1">
              <w:rPr>
                <w:sz w:val="18"/>
                <w:szCs w:val="18"/>
              </w:rPr>
              <w:t xml:space="preserve"> staff was trained in managing DBS samples and results.</w:t>
            </w:r>
          </w:p>
          <w:p w14:paraId="2AC4B4CF" w14:textId="77777777" w:rsidR="00D97E3B" w:rsidRPr="006F1EE1" w:rsidRDefault="00D97E3B" w:rsidP="00873066">
            <w:pPr>
              <w:pStyle w:val="CEPATabletext"/>
              <w:ind w:left="-10"/>
              <w:rPr>
                <w:sz w:val="18"/>
                <w:szCs w:val="18"/>
              </w:rPr>
            </w:pPr>
            <w:r w:rsidRPr="006F1EE1">
              <w:rPr>
                <w:sz w:val="18"/>
                <w:szCs w:val="18"/>
              </w:rPr>
              <w:t>In 2016, Malawi moved to a "test and treat" protocol and phased out routine CD4 testing. MSF performed CD4 tests until the implementation of the new guidelines was completed and keeps the machines at its disposal for research purposes and targeted CD4 tests.</w:t>
            </w:r>
          </w:p>
        </w:tc>
      </w:tr>
      <w:tr w:rsidR="00D97E3B" w14:paraId="0A4E7B54" w14:textId="77777777" w:rsidTr="00894BCA">
        <w:tc>
          <w:tcPr>
            <w:tcW w:w="0" w:type="auto"/>
          </w:tcPr>
          <w:p w14:paraId="16E0A322" w14:textId="77777777" w:rsidR="00D97E3B" w:rsidRPr="006F1EE1" w:rsidRDefault="00D97E3B" w:rsidP="00873066">
            <w:pPr>
              <w:pStyle w:val="CEPATabletext"/>
              <w:rPr>
                <w:sz w:val="18"/>
                <w:szCs w:val="18"/>
              </w:rPr>
            </w:pPr>
            <w:r w:rsidRPr="006F1EE1">
              <w:rPr>
                <w:sz w:val="18"/>
                <w:szCs w:val="18"/>
              </w:rPr>
              <w:t>Mozambique OCB and OCG</w:t>
            </w:r>
          </w:p>
        </w:tc>
        <w:tc>
          <w:tcPr>
            <w:tcW w:w="3138" w:type="dxa"/>
          </w:tcPr>
          <w:p w14:paraId="42DF1D5A" w14:textId="77777777" w:rsidR="00D97E3B" w:rsidRPr="006F1EE1" w:rsidRDefault="00D97E3B" w:rsidP="00873066">
            <w:pPr>
              <w:pStyle w:val="CEPATabletext"/>
              <w:ind w:left="-10"/>
              <w:rPr>
                <w:sz w:val="18"/>
                <w:szCs w:val="18"/>
              </w:rPr>
            </w:pPr>
            <w:r w:rsidRPr="006F1EE1">
              <w:rPr>
                <w:sz w:val="18"/>
                <w:szCs w:val="18"/>
              </w:rPr>
              <w:t>Finalisation of lab site rehabilitation; validation of VL platform, initiation of VL operations in Maputo &amp; Tete</w:t>
            </w:r>
          </w:p>
          <w:p w14:paraId="0475E2E9" w14:textId="4D2ABB64" w:rsidR="00D97E3B" w:rsidRPr="006F1EE1" w:rsidRDefault="00D97E3B" w:rsidP="00873066">
            <w:pPr>
              <w:pStyle w:val="CEPATabletext"/>
              <w:ind w:left="-10"/>
              <w:rPr>
                <w:sz w:val="18"/>
                <w:szCs w:val="18"/>
              </w:rPr>
            </w:pPr>
            <w:r w:rsidRPr="006F1EE1">
              <w:rPr>
                <w:sz w:val="18"/>
                <w:szCs w:val="18"/>
              </w:rPr>
              <w:t xml:space="preserve">BioMérieux VL platform installed in laboratory; reagents, sample collection, transportation, counselling procured by </w:t>
            </w:r>
            <w:r w:rsidR="00B61C4F">
              <w:rPr>
                <w:sz w:val="18"/>
                <w:szCs w:val="18"/>
              </w:rPr>
              <w:t>MOH</w:t>
            </w:r>
            <w:r w:rsidRPr="006F1EE1">
              <w:rPr>
                <w:sz w:val="18"/>
                <w:szCs w:val="18"/>
              </w:rPr>
              <w:t xml:space="preserve"> (part of </w:t>
            </w:r>
            <w:r w:rsidR="00B61C4F">
              <w:rPr>
                <w:sz w:val="18"/>
                <w:szCs w:val="18"/>
              </w:rPr>
              <w:t>MOH</w:t>
            </w:r>
            <w:r w:rsidRPr="006F1EE1">
              <w:rPr>
                <w:sz w:val="18"/>
                <w:szCs w:val="18"/>
              </w:rPr>
              <w:t xml:space="preserve"> VL “Acceleration Plan”. MSF platform only VL platform. VL lab technicians &amp; data encoders on </w:t>
            </w:r>
            <w:r w:rsidR="00B61C4F">
              <w:rPr>
                <w:sz w:val="18"/>
                <w:szCs w:val="18"/>
              </w:rPr>
              <w:t>MOH</w:t>
            </w:r>
            <w:r w:rsidRPr="006F1EE1">
              <w:rPr>
                <w:sz w:val="18"/>
                <w:szCs w:val="18"/>
              </w:rPr>
              <w:t xml:space="preserve"> payroll</w:t>
            </w:r>
          </w:p>
          <w:p w14:paraId="398EB69F" w14:textId="77777777" w:rsidR="00D97E3B" w:rsidRPr="006F1EE1" w:rsidRDefault="00D97E3B" w:rsidP="00873066">
            <w:pPr>
              <w:pStyle w:val="CEPATabletext"/>
              <w:ind w:left="-10"/>
              <w:rPr>
                <w:sz w:val="18"/>
                <w:szCs w:val="18"/>
              </w:rPr>
            </w:pPr>
            <w:r w:rsidRPr="006F1EE1">
              <w:rPr>
                <w:sz w:val="18"/>
                <w:szCs w:val="18"/>
              </w:rPr>
              <w:t>Technical problems (e.g. lab electrics) caused delays</w:t>
            </w:r>
          </w:p>
          <w:p w14:paraId="3300D185" w14:textId="77777777" w:rsidR="00D97E3B" w:rsidRPr="006F1EE1" w:rsidRDefault="00D97E3B" w:rsidP="00873066">
            <w:pPr>
              <w:pStyle w:val="CEPATabletext"/>
              <w:ind w:left="-10"/>
              <w:rPr>
                <w:sz w:val="18"/>
                <w:szCs w:val="18"/>
              </w:rPr>
            </w:pPr>
            <w:r w:rsidRPr="006F1EE1">
              <w:rPr>
                <w:sz w:val="18"/>
                <w:szCs w:val="18"/>
              </w:rPr>
              <w:t>National algorithm to be decided upon in Jan 2014</w:t>
            </w:r>
          </w:p>
        </w:tc>
        <w:tc>
          <w:tcPr>
            <w:tcW w:w="3138" w:type="dxa"/>
          </w:tcPr>
          <w:p w14:paraId="4172BA67" w14:textId="7B63B774" w:rsidR="00D97E3B" w:rsidRPr="006F1EE1" w:rsidRDefault="00B61C4F" w:rsidP="00873066">
            <w:pPr>
              <w:pStyle w:val="CEPATabletext"/>
              <w:ind w:left="-10"/>
              <w:rPr>
                <w:sz w:val="18"/>
                <w:szCs w:val="18"/>
              </w:rPr>
            </w:pPr>
            <w:r>
              <w:rPr>
                <w:sz w:val="18"/>
                <w:szCs w:val="18"/>
              </w:rPr>
              <w:t>MOH</w:t>
            </w:r>
            <w:r w:rsidR="00D97E3B" w:rsidRPr="006F1EE1">
              <w:rPr>
                <w:sz w:val="18"/>
                <w:szCs w:val="18"/>
              </w:rPr>
              <w:t xml:space="preserve"> decision for only one standardized platform in the country (Abbott)</w:t>
            </w:r>
          </w:p>
          <w:p w14:paraId="6965C826" w14:textId="77777777" w:rsidR="00D97E3B" w:rsidRPr="006F1EE1" w:rsidRDefault="00D97E3B" w:rsidP="00873066">
            <w:pPr>
              <w:pStyle w:val="CEPATabletext"/>
              <w:ind w:left="-10"/>
              <w:rPr>
                <w:sz w:val="18"/>
                <w:szCs w:val="18"/>
              </w:rPr>
            </w:pPr>
            <w:r w:rsidRPr="006F1EE1">
              <w:rPr>
                <w:sz w:val="18"/>
                <w:szCs w:val="18"/>
              </w:rPr>
              <w:t xml:space="preserve">Requirement for quality certification slowed down ability to roll out VL testing on DBS on Abbott platforms. </w:t>
            </w:r>
          </w:p>
          <w:p w14:paraId="00BC45A1" w14:textId="77777777" w:rsidR="00D97E3B" w:rsidRPr="006F1EE1" w:rsidRDefault="00D97E3B" w:rsidP="00873066">
            <w:pPr>
              <w:pStyle w:val="CEPATabletext"/>
              <w:ind w:left="-10"/>
              <w:rPr>
                <w:sz w:val="18"/>
                <w:szCs w:val="18"/>
              </w:rPr>
            </w:pPr>
            <w:r w:rsidRPr="006F1EE1">
              <w:rPr>
                <w:sz w:val="18"/>
                <w:szCs w:val="18"/>
              </w:rPr>
              <w:t xml:space="preserve">Introduction of routine VL in all MSF-supported sites. </w:t>
            </w:r>
          </w:p>
          <w:p w14:paraId="51C7F393" w14:textId="3B81CBF6" w:rsidR="00D97E3B" w:rsidRPr="006F1EE1" w:rsidRDefault="003C6684" w:rsidP="00873066">
            <w:pPr>
              <w:pStyle w:val="CEPATabletext"/>
              <w:ind w:left="-10"/>
              <w:rPr>
                <w:sz w:val="18"/>
                <w:szCs w:val="18"/>
              </w:rPr>
            </w:pPr>
            <w:r>
              <w:rPr>
                <w:sz w:val="18"/>
                <w:szCs w:val="18"/>
              </w:rPr>
              <w:t>Hand-over</w:t>
            </w:r>
            <w:r w:rsidR="00D97E3B" w:rsidRPr="006F1EE1">
              <w:rPr>
                <w:sz w:val="18"/>
                <w:szCs w:val="18"/>
              </w:rPr>
              <w:t xml:space="preserve"> to </w:t>
            </w:r>
            <w:r w:rsidR="00B61C4F">
              <w:rPr>
                <w:sz w:val="18"/>
                <w:szCs w:val="18"/>
              </w:rPr>
              <w:t>MOH</w:t>
            </w:r>
            <w:r w:rsidR="00D97E3B" w:rsidRPr="006F1EE1">
              <w:rPr>
                <w:sz w:val="18"/>
                <w:szCs w:val="18"/>
              </w:rPr>
              <w:t xml:space="preserve"> for one site.</w:t>
            </w:r>
          </w:p>
          <w:p w14:paraId="7ED8302E" w14:textId="77777777" w:rsidR="00D97E3B" w:rsidRPr="006F1EE1" w:rsidRDefault="00D97E3B" w:rsidP="00873066">
            <w:pPr>
              <w:pStyle w:val="CEPATabletext"/>
              <w:ind w:left="-10"/>
              <w:rPr>
                <w:sz w:val="18"/>
                <w:szCs w:val="18"/>
              </w:rPr>
            </w:pPr>
            <w:r w:rsidRPr="006F1EE1">
              <w:rPr>
                <w:sz w:val="18"/>
                <w:szCs w:val="18"/>
              </w:rPr>
              <w:t>VL uptake not increased due to multiple breakdowns of BM platform which stopped testing for almost 2 months, shortage of second line drugs, and resistance to implementation in some HCs.</w:t>
            </w:r>
          </w:p>
          <w:p w14:paraId="46BD61F3" w14:textId="77777777" w:rsidR="00D97E3B" w:rsidRPr="006F1EE1" w:rsidRDefault="00D97E3B" w:rsidP="00873066">
            <w:pPr>
              <w:pStyle w:val="CEPATabletext"/>
              <w:ind w:left="-10"/>
              <w:rPr>
                <w:sz w:val="18"/>
                <w:szCs w:val="18"/>
              </w:rPr>
            </w:pPr>
            <w:r w:rsidRPr="006F1EE1">
              <w:rPr>
                <w:sz w:val="18"/>
                <w:szCs w:val="18"/>
              </w:rPr>
              <w:t>Following difficulties, targets revised in July 2014.</w:t>
            </w:r>
          </w:p>
        </w:tc>
        <w:tc>
          <w:tcPr>
            <w:tcW w:w="3138" w:type="dxa"/>
          </w:tcPr>
          <w:p w14:paraId="6A639040" w14:textId="7D7A68B7" w:rsidR="00D97E3B" w:rsidRPr="006F1EE1" w:rsidRDefault="00D97E3B" w:rsidP="00873066">
            <w:pPr>
              <w:pStyle w:val="CEPATabletext"/>
              <w:ind w:left="-10"/>
              <w:rPr>
                <w:sz w:val="18"/>
                <w:szCs w:val="18"/>
              </w:rPr>
            </w:pPr>
            <w:r w:rsidRPr="006F1EE1">
              <w:rPr>
                <w:sz w:val="18"/>
                <w:szCs w:val="18"/>
              </w:rPr>
              <w:t xml:space="preserve">Abbott platforms have been installed, but </w:t>
            </w:r>
            <w:r w:rsidR="00B61C4F">
              <w:rPr>
                <w:sz w:val="18"/>
                <w:szCs w:val="18"/>
              </w:rPr>
              <w:t>MOH</w:t>
            </w:r>
            <w:r w:rsidRPr="006F1EE1">
              <w:rPr>
                <w:sz w:val="18"/>
                <w:szCs w:val="18"/>
              </w:rPr>
              <w:t xml:space="preserve"> is struggling to make them function consistently due to lack of maintenance capacity, and supply and storage of reagents.</w:t>
            </w:r>
          </w:p>
          <w:p w14:paraId="08A1D373" w14:textId="77777777" w:rsidR="00D97E3B" w:rsidRPr="006F1EE1" w:rsidRDefault="00D97E3B" w:rsidP="00873066">
            <w:pPr>
              <w:pStyle w:val="CEPATabletext"/>
              <w:rPr>
                <w:sz w:val="18"/>
                <w:szCs w:val="18"/>
              </w:rPr>
            </w:pPr>
            <w:r w:rsidRPr="006F1EE1">
              <w:rPr>
                <w:sz w:val="18"/>
                <w:szCs w:val="18"/>
              </w:rPr>
              <w:t>Reagent stock-outs in August and December.</w:t>
            </w:r>
          </w:p>
          <w:p w14:paraId="4339A158" w14:textId="77777777" w:rsidR="00D97E3B" w:rsidRPr="006F1EE1" w:rsidRDefault="00D97E3B" w:rsidP="00873066">
            <w:pPr>
              <w:pStyle w:val="CEPATabletext"/>
              <w:ind w:left="-10"/>
              <w:rPr>
                <w:sz w:val="18"/>
                <w:szCs w:val="18"/>
              </w:rPr>
            </w:pPr>
            <w:r w:rsidRPr="006F1EE1">
              <w:rPr>
                <w:sz w:val="18"/>
                <w:szCs w:val="18"/>
              </w:rPr>
              <w:t>MSF’s plans (June 2015) to install an Abbott platform in Maputo delayed [author attributes this to Abbott] till May 2016.</w:t>
            </w:r>
          </w:p>
          <w:p w14:paraId="14EF7A26" w14:textId="77777777" w:rsidR="00D97E3B" w:rsidRPr="006F1EE1" w:rsidRDefault="00D97E3B" w:rsidP="00873066">
            <w:pPr>
              <w:pStyle w:val="CEPATabletext"/>
              <w:ind w:left="-10"/>
              <w:rPr>
                <w:sz w:val="18"/>
                <w:szCs w:val="18"/>
              </w:rPr>
            </w:pPr>
            <w:r w:rsidRPr="006F1EE1">
              <w:rPr>
                <w:sz w:val="18"/>
                <w:szCs w:val="18"/>
              </w:rPr>
              <w:t>Implementation of RVL remains slow and below the original targets.</w:t>
            </w:r>
          </w:p>
          <w:p w14:paraId="422DBABA" w14:textId="77777777" w:rsidR="00D97E3B" w:rsidRPr="006F1EE1" w:rsidRDefault="00D97E3B" w:rsidP="00873066">
            <w:pPr>
              <w:pStyle w:val="CEPATabletext"/>
              <w:rPr>
                <w:sz w:val="18"/>
                <w:szCs w:val="18"/>
              </w:rPr>
            </w:pPr>
            <w:r w:rsidRPr="006F1EE1">
              <w:rPr>
                <w:sz w:val="18"/>
                <w:szCs w:val="18"/>
              </w:rPr>
              <w:t>Operational support to Mavalane District wound down, but VL lab scale-up support extended to aide transition.</w:t>
            </w:r>
          </w:p>
        </w:tc>
        <w:tc>
          <w:tcPr>
            <w:tcW w:w="3139" w:type="dxa"/>
          </w:tcPr>
          <w:p w14:paraId="6F6150E0" w14:textId="75490951" w:rsidR="00D97E3B" w:rsidRPr="006F1EE1" w:rsidRDefault="00B61C4F" w:rsidP="00873066">
            <w:pPr>
              <w:pStyle w:val="CEPATabletext"/>
              <w:ind w:left="-10"/>
              <w:rPr>
                <w:sz w:val="18"/>
                <w:szCs w:val="18"/>
              </w:rPr>
            </w:pPr>
            <w:r>
              <w:rPr>
                <w:sz w:val="18"/>
                <w:szCs w:val="18"/>
              </w:rPr>
              <w:t>MOH</w:t>
            </w:r>
            <w:r w:rsidR="00D97E3B" w:rsidRPr="006F1EE1">
              <w:rPr>
                <w:sz w:val="18"/>
                <w:szCs w:val="18"/>
              </w:rPr>
              <w:t xml:space="preserve"> has agreed to include </w:t>
            </w:r>
            <w:r w:rsidR="007B10C8">
              <w:rPr>
                <w:sz w:val="18"/>
                <w:szCs w:val="18"/>
              </w:rPr>
              <w:t>BM</w:t>
            </w:r>
            <w:r w:rsidR="00D97E3B" w:rsidRPr="006F1EE1">
              <w:rPr>
                <w:sz w:val="18"/>
                <w:szCs w:val="18"/>
              </w:rPr>
              <w:t xml:space="preserve"> technology in its roll-out plans and MSF has incorporated an Abbot platform into the lab of Jose Macamo hospital in Maputo. </w:t>
            </w:r>
          </w:p>
          <w:p w14:paraId="0368A361" w14:textId="6373887A" w:rsidR="00D97E3B" w:rsidRPr="006F1EE1" w:rsidRDefault="00D97E3B" w:rsidP="00873066">
            <w:pPr>
              <w:pStyle w:val="CEPATabletext"/>
              <w:ind w:left="-10"/>
              <w:rPr>
                <w:sz w:val="18"/>
                <w:szCs w:val="18"/>
              </w:rPr>
            </w:pPr>
            <w:r w:rsidRPr="006F1EE1">
              <w:rPr>
                <w:sz w:val="18"/>
                <w:szCs w:val="18"/>
              </w:rPr>
              <w:t xml:space="preserve">PEPFAR funding secured for Abbott and </w:t>
            </w:r>
            <w:r w:rsidR="007B10C8">
              <w:rPr>
                <w:sz w:val="18"/>
                <w:szCs w:val="18"/>
              </w:rPr>
              <w:t>BM</w:t>
            </w:r>
            <w:r w:rsidRPr="006F1EE1">
              <w:rPr>
                <w:sz w:val="18"/>
                <w:szCs w:val="18"/>
              </w:rPr>
              <w:t xml:space="preserve"> reagents to be integrated into </w:t>
            </w:r>
            <w:r w:rsidR="00B61C4F">
              <w:rPr>
                <w:sz w:val="18"/>
                <w:szCs w:val="18"/>
              </w:rPr>
              <w:t>MOH</w:t>
            </w:r>
            <w:r w:rsidRPr="006F1EE1">
              <w:rPr>
                <w:sz w:val="18"/>
                <w:szCs w:val="18"/>
              </w:rPr>
              <w:t xml:space="preserve"> system.</w:t>
            </w:r>
          </w:p>
          <w:p w14:paraId="60507968" w14:textId="6247A50F" w:rsidR="00D97E3B" w:rsidRPr="006F1EE1" w:rsidRDefault="00D97E3B" w:rsidP="00873066">
            <w:pPr>
              <w:pStyle w:val="CEPATabletext"/>
              <w:ind w:left="-10"/>
              <w:rPr>
                <w:sz w:val="18"/>
                <w:szCs w:val="18"/>
              </w:rPr>
            </w:pPr>
            <w:r w:rsidRPr="006F1EE1">
              <w:rPr>
                <w:sz w:val="18"/>
                <w:szCs w:val="18"/>
              </w:rPr>
              <w:t xml:space="preserve">During first semester of 2016, the </w:t>
            </w:r>
            <w:r w:rsidR="007B10C8">
              <w:rPr>
                <w:sz w:val="18"/>
                <w:szCs w:val="18"/>
              </w:rPr>
              <w:t>BM</w:t>
            </w:r>
            <w:r w:rsidRPr="006F1EE1">
              <w:rPr>
                <w:sz w:val="18"/>
                <w:szCs w:val="18"/>
              </w:rPr>
              <w:t xml:space="preserve"> platform was temporarily out of service (stock-out of reagents and DBS kits; technical breakdown) and samples were sent to Durban/South Africa.</w:t>
            </w:r>
          </w:p>
        </w:tc>
      </w:tr>
      <w:tr w:rsidR="00D97E3B" w14:paraId="0E8E1DAD" w14:textId="77777777" w:rsidTr="00894BCA">
        <w:tc>
          <w:tcPr>
            <w:tcW w:w="0" w:type="auto"/>
          </w:tcPr>
          <w:p w14:paraId="7FDDF23F" w14:textId="77777777" w:rsidR="00D97E3B" w:rsidRPr="006F1EE1" w:rsidRDefault="00D97E3B" w:rsidP="00873066">
            <w:pPr>
              <w:pStyle w:val="CEPATabletext"/>
              <w:rPr>
                <w:sz w:val="18"/>
                <w:szCs w:val="18"/>
              </w:rPr>
            </w:pPr>
            <w:r w:rsidRPr="006F1EE1">
              <w:rPr>
                <w:sz w:val="18"/>
                <w:szCs w:val="18"/>
              </w:rPr>
              <w:t>South Africa OCB</w:t>
            </w:r>
          </w:p>
        </w:tc>
        <w:tc>
          <w:tcPr>
            <w:tcW w:w="3138" w:type="dxa"/>
          </w:tcPr>
          <w:p w14:paraId="00A34597" w14:textId="77777777" w:rsidR="00D97E3B" w:rsidRPr="006F1EE1" w:rsidRDefault="00D97E3B" w:rsidP="00873066">
            <w:pPr>
              <w:pStyle w:val="CEPATabletext"/>
              <w:ind w:left="-10"/>
              <w:rPr>
                <w:sz w:val="18"/>
                <w:szCs w:val="18"/>
              </w:rPr>
            </w:pPr>
            <w:r w:rsidRPr="006F1EE1">
              <w:rPr>
                <w:sz w:val="18"/>
                <w:szCs w:val="18"/>
              </w:rPr>
              <w:t>Change of approach from KZN site to Western Cape and IQUUM’s LIAT chosen for pilot EID study</w:t>
            </w:r>
          </w:p>
        </w:tc>
        <w:tc>
          <w:tcPr>
            <w:tcW w:w="3138" w:type="dxa"/>
          </w:tcPr>
          <w:p w14:paraId="12B15826" w14:textId="77777777" w:rsidR="00D97E3B" w:rsidRPr="006F1EE1" w:rsidRDefault="00D97E3B" w:rsidP="00873066">
            <w:pPr>
              <w:pStyle w:val="CEPATabletext"/>
              <w:ind w:left="-10"/>
              <w:rPr>
                <w:sz w:val="18"/>
                <w:szCs w:val="18"/>
              </w:rPr>
            </w:pPr>
            <w:r w:rsidRPr="006F1EE1">
              <w:rPr>
                <w:sz w:val="18"/>
                <w:szCs w:val="18"/>
              </w:rPr>
              <w:t>Received two Alere Q POC devices, laboratory validation ongoing.  Delays in receiving cartridges.  Delays with the Stellenbosch Ethics Review Board. Awaiting approval for amendment to allow change from Liat to Alere Q (received March 4 2015).</w:t>
            </w:r>
          </w:p>
          <w:p w14:paraId="388F5650" w14:textId="77777777" w:rsidR="00D97E3B" w:rsidRPr="006F1EE1" w:rsidRDefault="00D97E3B" w:rsidP="00873066">
            <w:pPr>
              <w:pStyle w:val="CEPATabletext"/>
              <w:ind w:left="-10"/>
              <w:rPr>
                <w:sz w:val="18"/>
                <w:szCs w:val="18"/>
              </w:rPr>
            </w:pPr>
            <w:r w:rsidRPr="006F1EE1">
              <w:rPr>
                <w:sz w:val="18"/>
                <w:szCs w:val="18"/>
              </w:rPr>
              <w:t>EID pilot underway, clinical guidelines being written by Western Cape Department of Health and Southern African Clinician’s Society in consultation with MSF.</w:t>
            </w:r>
          </w:p>
          <w:p w14:paraId="6DEF1C5B" w14:textId="77777777" w:rsidR="00D97E3B" w:rsidRPr="006F1EE1" w:rsidRDefault="00D97E3B" w:rsidP="00873066">
            <w:pPr>
              <w:pStyle w:val="CEPATabletext"/>
              <w:ind w:left="-10"/>
              <w:rPr>
                <w:sz w:val="18"/>
                <w:szCs w:val="18"/>
              </w:rPr>
            </w:pPr>
            <w:r w:rsidRPr="006F1EE1">
              <w:rPr>
                <w:sz w:val="18"/>
                <w:szCs w:val="18"/>
              </w:rPr>
              <w:t>All EID done in 2014 were done on Lab platform (Roche), as the POC EID devices had not arrived in the country.</w:t>
            </w:r>
          </w:p>
          <w:p w14:paraId="091FB6C3" w14:textId="77777777" w:rsidR="00D97E3B" w:rsidRPr="006F1EE1" w:rsidRDefault="00D97E3B" w:rsidP="00873066">
            <w:pPr>
              <w:pStyle w:val="CEPATabletext"/>
              <w:ind w:left="-10"/>
              <w:rPr>
                <w:sz w:val="18"/>
                <w:szCs w:val="18"/>
              </w:rPr>
            </w:pPr>
            <w:r w:rsidRPr="006F1EE1">
              <w:rPr>
                <w:sz w:val="18"/>
                <w:szCs w:val="18"/>
              </w:rPr>
              <w:t xml:space="preserve">Birth PCR started on all HIV exposed babies on 15/11/2014. </w:t>
            </w:r>
          </w:p>
          <w:p w14:paraId="20B3194E" w14:textId="77777777" w:rsidR="00D97E3B" w:rsidRPr="006F1EE1" w:rsidRDefault="00D97E3B" w:rsidP="00873066">
            <w:pPr>
              <w:pStyle w:val="CEPATabletext"/>
              <w:ind w:left="-10"/>
              <w:rPr>
                <w:sz w:val="18"/>
                <w:szCs w:val="18"/>
              </w:rPr>
            </w:pPr>
            <w:r w:rsidRPr="006F1EE1">
              <w:rPr>
                <w:sz w:val="18"/>
                <w:szCs w:val="18"/>
              </w:rPr>
              <w:t>Training done on new PMTCT guidelines to the DOH staff.</w:t>
            </w:r>
          </w:p>
        </w:tc>
        <w:tc>
          <w:tcPr>
            <w:tcW w:w="3138" w:type="dxa"/>
          </w:tcPr>
          <w:p w14:paraId="11DE7D3C" w14:textId="77777777" w:rsidR="00D97E3B" w:rsidRPr="006F1EE1" w:rsidRDefault="00D97E3B" w:rsidP="00873066">
            <w:pPr>
              <w:pStyle w:val="CEPATabletext"/>
              <w:ind w:left="-10"/>
              <w:rPr>
                <w:sz w:val="18"/>
                <w:szCs w:val="18"/>
              </w:rPr>
            </w:pPr>
            <w:r w:rsidRPr="006F1EE1">
              <w:rPr>
                <w:sz w:val="18"/>
                <w:szCs w:val="18"/>
              </w:rPr>
              <w:t>Began using the two RUO- Alere Q POC devices following validation in July 2015. Due to supply/regulatory issues with Alere, had to change the RUO devices for CE/IVD approved devices: started using the latter in October 2015 (after laboratory validation).</w:t>
            </w:r>
          </w:p>
          <w:p w14:paraId="1F772D9B" w14:textId="77777777" w:rsidR="00D97E3B" w:rsidRPr="006F1EE1" w:rsidRDefault="00D97E3B" w:rsidP="00873066">
            <w:pPr>
              <w:pStyle w:val="CEPATabletext"/>
              <w:ind w:left="-10"/>
              <w:rPr>
                <w:sz w:val="18"/>
                <w:szCs w:val="18"/>
              </w:rPr>
            </w:pPr>
            <w:r w:rsidRPr="006F1EE1">
              <w:rPr>
                <w:sz w:val="18"/>
                <w:szCs w:val="18"/>
              </w:rPr>
              <w:t>Extension request for POC EID past June 2016 until December 2017. Approved until December 2016.</w:t>
            </w:r>
          </w:p>
          <w:p w14:paraId="3A1D5FBC" w14:textId="77777777" w:rsidR="00D97E3B" w:rsidRPr="006F1EE1" w:rsidRDefault="00D97E3B" w:rsidP="00873066">
            <w:pPr>
              <w:pStyle w:val="CEPATabletext"/>
              <w:ind w:left="-10"/>
              <w:rPr>
                <w:sz w:val="18"/>
                <w:szCs w:val="18"/>
              </w:rPr>
            </w:pPr>
            <w:r w:rsidRPr="006F1EE1">
              <w:rPr>
                <w:sz w:val="18"/>
                <w:szCs w:val="18"/>
              </w:rPr>
              <w:t>Published short article in Southern African Journal of HIV Medicine on the MSF experience of testing infants at birth.</w:t>
            </w:r>
          </w:p>
        </w:tc>
        <w:tc>
          <w:tcPr>
            <w:tcW w:w="3139" w:type="dxa"/>
          </w:tcPr>
          <w:p w14:paraId="13EE93A1" w14:textId="71940A23" w:rsidR="00D97E3B" w:rsidRPr="006F1EE1" w:rsidRDefault="00D97E3B" w:rsidP="00873066">
            <w:pPr>
              <w:pStyle w:val="CEPATabletext"/>
              <w:ind w:left="-10"/>
              <w:rPr>
                <w:sz w:val="18"/>
                <w:szCs w:val="18"/>
              </w:rPr>
            </w:pPr>
            <w:r w:rsidRPr="006F1EE1">
              <w:rPr>
                <w:sz w:val="18"/>
                <w:szCs w:val="18"/>
              </w:rPr>
              <w:t xml:space="preserve">Study completed on advantages of POC EID with Alere Q platform over lab-based VL with </w:t>
            </w:r>
            <w:r w:rsidR="00B61C4F">
              <w:rPr>
                <w:sz w:val="18"/>
                <w:szCs w:val="18"/>
              </w:rPr>
              <w:t>MOH</w:t>
            </w:r>
            <w:r w:rsidRPr="006F1EE1">
              <w:rPr>
                <w:sz w:val="18"/>
                <w:szCs w:val="18"/>
              </w:rPr>
              <w:t>’s Roche technology.</w:t>
            </w:r>
          </w:p>
          <w:p w14:paraId="42A24348" w14:textId="77777777" w:rsidR="00D97E3B" w:rsidRPr="006F1EE1" w:rsidRDefault="00D97E3B" w:rsidP="00873066">
            <w:pPr>
              <w:pStyle w:val="CEPATabletext"/>
              <w:ind w:left="-10"/>
              <w:rPr>
                <w:sz w:val="18"/>
                <w:szCs w:val="18"/>
              </w:rPr>
            </w:pPr>
            <w:r w:rsidRPr="006F1EE1">
              <w:rPr>
                <w:sz w:val="18"/>
                <w:szCs w:val="18"/>
              </w:rPr>
              <w:t>Conclusion of low need in developed setting (SA). Birth VL on Alere Q therefore discontinued after end of study.</w:t>
            </w:r>
          </w:p>
          <w:p w14:paraId="65FBF90C" w14:textId="77777777" w:rsidR="00D97E3B" w:rsidRPr="006F1EE1" w:rsidRDefault="00D97E3B" w:rsidP="00873066">
            <w:pPr>
              <w:pStyle w:val="CEPATabletext"/>
              <w:ind w:left="-10"/>
              <w:rPr>
                <w:sz w:val="18"/>
                <w:szCs w:val="18"/>
              </w:rPr>
            </w:pPr>
            <w:r w:rsidRPr="006F1EE1">
              <w:rPr>
                <w:sz w:val="18"/>
                <w:szCs w:val="18"/>
              </w:rPr>
              <w:t>Study results widely shared.</w:t>
            </w:r>
          </w:p>
        </w:tc>
      </w:tr>
      <w:tr w:rsidR="00D97E3B" w14:paraId="733A0F8D" w14:textId="77777777" w:rsidTr="00894BCA">
        <w:tc>
          <w:tcPr>
            <w:tcW w:w="0" w:type="auto"/>
          </w:tcPr>
          <w:p w14:paraId="7D1520EE" w14:textId="77777777" w:rsidR="00D97E3B" w:rsidRPr="006F1EE1" w:rsidRDefault="00D97E3B" w:rsidP="00873066">
            <w:pPr>
              <w:pStyle w:val="CEPATabletext"/>
              <w:rPr>
                <w:sz w:val="18"/>
                <w:szCs w:val="18"/>
              </w:rPr>
            </w:pPr>
            <w:r w:rsidRPr="006F1EE1">
              <w:rPr>
                <w:sz w:val="18"/>
                <w:szCs w:val="18"/>
              </w:rPr>
              <w:t>Swaziland OCG</w:t>
            </w:r>
          </w:p>
        </w:tc>
        <w:tc>
          <w:tcPr>
            <w:tcW w:w="3138" w:type="dxa"/>
          </w:tcPr>
          <w:p w14:paraId="2E9D354F" w14:textId="77777777" w:rsidR="00D97E3B" w:rsidRPr="006F1EE1" w:rsidRDefault="00D97E3B" w:rsidP="00873066">
            <w:pPr>
              <w:pStyle w:val="CEPATabletext"/>
              <w:ind w:left="-10"/>
              <w:rPr>
                <w:sz w:val="18"/>
                <w:szCs w:val="18"/>
              </w:rPr>
            </w:pPr>
            <w:r w:rsidRPr="006F1EE1">
              <w:rPr>
                <w:sz w:val="18"/>
                <w:szCs w:val="18"/>
              </w:rPr>
              <w:t xml:space="preserve">CD4 POC done in minilabs; Routine VL monitoring conducted; delays in EID role out </w:t>
            </w:r>
          </w:p>
          <w:p w14:paraId="6012F270" w14:textId="77777777" w:rsidR="00D97E3B" w:rsidRPr="006F1EE1" w:rsidRDefault="00D97E3B" w:rsidP="00873066">
            <w:pPr>
              <w:pStyle w:val="CEPATabletext"/>
              <w:ind w:left="-10"/>
              <w:rPr>
                <w:sz w:val="18"/>
                <w:szCs w:val="18"/>
              </w:rPr>
            </w:pPr>
            <w:r w:rsidRPr="006F1EE1">
              <w:rPr>
                <w:sz w:val="18"/>
                <w:szCs w:val="18"/>
              </w:rPr>
              <w:t>Break downs/ stock out of centralised CD4 Fascalibur meant MSF CD4 POC assisted to fill gap; POC CD4 PIMA devices required repairs</w:t>
            </w:r>
          </w:p>
          <w:p w14:paraId="51EB8B41" w14:textId="77777777" w:rsidR="00D97E3B" w:rsidRPr="006F1EE1" w:rsidRDefault="00D97E3B" w:rsidP="00873066">
            <w:pPr>
              <w:pStyle w:val="CEPATabletext"/>
              <w:ind w:left="-10"/>
              <w:rPr>
                <w:sz w:val="18"/>
                <w:szCs w:val="18"/>
              </w:rPr>
            </w:pPr>
            <w:r w:rsidRPr="006F1EE1">
              <w:rPr>
                <w:sz w:val="18"/>
                <w:szCs w:val="18"/>
              </w:rPr>
              <w:t xml:space="preserve">MSF agreed to support CHAI with VL testing in 2014 with aim to roll out VL nationwide, only targeted VL monitoring in 2013; </w:t>
            </w:r>
          </w:p>
          <w:p w14:paraId="544A0AEA" w14:textId="77777777" w:rsidR="00D97E3B" w:rsidRPr="006F1EE1" w:rsidRDefault="00D97E3B" w:rsidP="00873066">
            <w:pPr>
              <w:pStyle w:val="CEPATabletext"/>
              <w:ind w:left="-10"/>
              <w:rPr>
                <w:sz w:val="18"/>
                <w:szCs w:val="18"/>
              </w:rPr>
            </w:pPr>
            <w:r w:rsidRPr="006F1EE1">
              <w:rPr>
                <w:sz w:val="18"/>
                <w:szCs w:val="18"/>
              </w:rPr>
              <w:t>MSF lead integration of VL algorithm into protocol of new 2013/13 treatment guidelines</w:t>
            </w:r>
          </w:p>
          <w:p w14:paraId="379185BB" w14:textId="77777777" w:rsidR="00D97E3B" w:rsidRPr="006F1EE1" w:rsidRDefault="00D97E3B" w:rsidP="00873066">
            <w:pPr>
              <w:pStyle w:val="CEPATabletext"/>
              <w:ind w:left="-10"/>
              <w:rPr>
                <w:sz w:val="18"/>
                <w:szCs w:val="18"/>
              </w:rPr>
            </w:pPr>
            <w:r w:rsidRPr="006F1EE1">
              <w:rPr>
                <w:sz w:val="18"/>
                <w:szCs w:val="18"/>
              </w:rPr>
              <w:t>MSF OCG support for CHAI VL (MaxART project) expected to start mid 2014</w:t>
            </w:r>
          </w:p>
        </w:tc>
        <w:tc>
          <w:tcPr>
            <w:tcW w:w="3138" w:type="dxa"/>
          </w:tcPr>
          <w:p w14:paraId="64C41ECA" w14:textId="77777777" w:rsidR="00D97E3B" w:rsidRPr="006F1EE1" w:rsidRDefault="00D97E3B" w:rsidP="00873066">
            <w:pPr>
              <w:pStyle w:val="CEPATabletext"/>
              <w:ind w:left="-10"/>
              <w:rPr>
                <w:sz w:val="18"/>
                <w:szCs w:val="18"/>
              </w:rPr>
            </w:pPr>
            <w:r w:rsidRPr="006F1EE1">
              <w:rPr>
                <w:sz w:val="18"/>
                <w:szCs w:val="18"/>
              </w:rPr>
              <w:t>Routine VL monitoring and CD4 POC continuing.</w:t>
            </w:r>
            <w:r w:rsidRPr="006F1EE1">
              <w:rPr>
                <w:sz w:val="18"/>
                <w:szCs w:val="18"/>
              </w:rPr>
              <w:tab/>
              <w:t>VL support for CHAI started in September 2014.</w:t>
            </w:r>
          </w:p>
          <w:p w14:paraId="52DE0CA4" w14:textId="77777777" w:rsidR="00D97E3B" w:rsidRPr="006F1EE1" w:rsidRDefault="00D97E3B" w:rsidP="00873066">
            <w:pPr>
              <w:pStyle w:val="CEPATabletext"/>
              <w:ind w:left="-10"/>
              <w:rPr>
                <w:sz w:val="18"/>
                <w:szCs w:val="18"/>
              </w:rPr>
            </w:pPr>
            <w:r w:rsidRPr="006F1EE1">
              <w:rPr>
                <w:sz w:val="18"/>
                <w:szCs w:val="18"/>
              </w:rPr>
              <w:tab/>
              <w:t>In Jan 2015, it was decided to drop EID POC ALEREQ.</w:t>
            </w:r>
          </w:p>
          <w:p w14:paraId="2B97C094" w14:textId="77777777" w:rsidR="00D97E3B" w:rsidRPr="006F1EE1" w:rsidRDefault="00D97E3B" w:rsidP="00873066">
            <w:pPr>
              <w:pStyle w:val="CEPATabletext"/>
              <w:ind w:left="-10"/>
              <w:rPr>
                <w:sz w:val="18"/>
                <w:szCs w:val="18"/>
              </w:rPr>
            </w:pPr>
            <w:r w:rsidRPr="006F1EE1">
              <w:rPr>
                <w:sz w:val="18"/>
                <w:szCs w:val="18"/>
              </w:rPr>
              <w:t>Development of LIMS database not supported anymore by MSF (budget to be reduced by 30,000 USD).</w:t>
            </w:r>
          </w:p>
          <w:p w14:paraId="77C3AECD" w14:textId="5755CAD0" w:rsidR="00D97E3B" w:rsidRPr="006F1EE1" w:rsidRDefault="00D97E3B" w:rsidP="00873066">
            <w:pPr>
              <w:pStyle w:val="CEPATabletext"/>
              <w:ind w:left="-10"/>
              <w:rPr>
                <w:sz w:val="18"/>
                <w:szCs w:val="18"/>
              </w:rPr>
            </w:pPr>
            <w:r w:rsidRPr="006F1EE1">
              <w:rPr>
                <w:sz w:val="18"/>
                <w:szCs w:val="18"/>
              </w:rPr>
              <w:t>Pre-ART Genotyping study on halt (</w:t>
            </w:r>
            <w:r w:rsidR="00B61C4F">
              <w:rPr>
                <w:sz w:val="18"/>
                <w:szCs w:val="18"/>
              </w:rPr>
              <w:t>MOH</w:t>
            </w:r>
            <w:r w:rsidRPr="006F1EE1">
              <w:rPr>
                <w:sz w:val="18"/>
                <w:szCs w:val="18"/>
              </w:rPr>
              <w:t xml:space="preserve"> may do a national drug resistance survey in 2015).</w:t>
            </w:r>
          </w:p>
          <w:p w14:paraId="2915E1CA" w14:textId="11526F32" w:rsidR="00D97E3B" w:rsidRPr="006F1EE1" w:rsidRDefault="00B61C4F" w:rsidP="00873066">
            <w:pPr>
              <w:pStyle w:val="CEPATabletext"/>
              <w:ind w:left="-10"/>
              <w:rPr>
                <w:sz w:val="18"/>
                <w:szCs w:val="18"/>
              </w:rPr>
            </w:pPr>
            <w:r>
              <w:rPr>
                <w:sz w:val="18"/>
                <w:szCs w:val="18"/>
              </w:rPr>
              <w:t>MOH</w:t>
            </w:r>
            <w:r w:rsidR="00D97E3B" w:rsidRPr="006F1EE1">
              <w:rPr>
                <w:sz w:val="18"/>
                <w:szCs w:val="18"/>
              </w:rPr>
              <w:t xml:space="preserve"> commitment to roll out routine VL monitoring in all of Swaziland.</w:t>
            </w:r>
          </w:p>
        </w:tc>
        <w:tc>
          <w:tcPr>
            <w:tcW w:w="3138" w:type="dxa"/>
          </w:tcPr>
          <w:p w14:paraId="4783CAD7" w14:textId="3B52CC60" w:rsidR="00D97E3B" w:rsidRPr="006F1EE1" w:rsidRDefault="00D97E3B" w:rsidP="00873066">
            <w:pPr>
              <w:pStyle w:val="CEPATabletext"/>
              <w:ind w:left="-10"/>
              <w:rPr>
                <w:sz w:val="18"/>
                <w:szCs w:val="18"/>
              </w:rPr>
            </w:pPr>
            <w:r w:rsidRPr="006F1EE1">
              <w:rPr>
                <w:sz w:val="18"/>
                <w:szCs w:val="18"/>
              </w:rPr>
              <w:t xml:space="preserve">MOH/CHAI committed to integrate </w:t>
            </w:r>
            <w:r w:rsidR="004D0E48">
              <w:rPr>
                <w:sz w:val="18"/>
                <w:szCs w:val="18"/>
              </w:rPr>
              <w:t xml:space="preserve">the </w:t>
            </w:r>
            <w:r w:rsidR="004D0E48" w:rsidRPr="006F1EE1">
              <w:rPr>
                <w:sz w:val="18"/>
                <w:szCs w:val="18"/>
              </w:rPr>
              <w:t>B</w:t>
            </w:r>
            <w:r w:rsidR="004D0E48">
              <w:rPr>
                <w:sz w:val="18"/>
                <w:szCs w:val="18"/>
              </w:rPr>
              <w:t>iocentric</w:t>
            </w:r>
            <w:r w:rsidR="004D0E48" w:rsidRPr="006F1EE1">
              <w:rPr>
                <w:sz w:val="18"/>
                <w:szCs w:val="18"/>
              </w:rPr>
              <w:t xml:space="preserve"> </w:t>
            </w:r>
            <w:r w:rsidRPr="006F1EE1">
              <w:rPr>
                <w:sz w:val="18"/>
                <w:szCs w:val="18"/>
              </w:rPr>
              <w:t xml:space="preserve">platform into the NRL with MSF support (expected functional, under </w:t>
            </w:r>
            <w:r w:rsidR="00B61C4F">
              <w:rPr>
                <w:sz w:val="18"/>
                <w:szCs w:val="18"/>
              </w:rPr>
              <w:t>MOH</w:t>
            </w:r>
            <w:r w:rsidRPr="006F1EE1">
              <w:rPr>
                <w:sz w:val="18"/>
                <w:szCs w:val="18"/>
              </w:rPr>
              <w:t xml:space="preserve"> management, by mid-2016). Lab in the MSF project will continue under </w:t>
            </w:r>
            <w:r w:rsidR="00B55E9C">
              <w:rPr>
                <w:sz w:val="18"/>
                <w:szCs w:val="18"/>
              </w:rPr>
              <w:t>Unitaid</w:t>
            </w:r>
            <w:r w:rsidRPr="006F1EE1">
              <w:rPr>
                <w:sz w:val="18"/>
                <w:szCs w:val="18"/>
              </w:rPr>
              <w:t xml:space="preserve"> funding in 2016, and MSF funding in 2017.</w:t>
            </w:r>
          </w:p>
          <w:p w14:paraId="26096662" w14:textId="7B8418B4" w:rsidR="00D97E3B" w:rsidRPr="006F1EE1" w:rsidRDefault="00D97E3B" w:rsidP="00873066">
            <w:pPr>
              <w:pStyle w:val="CEPATabletext"/>
              <w:ind w:left="-10"/>
              <w:rPr>
                <w:sz w:val="18"/>
                <w:szCs w:val="18"/>
              </w:rPr>
            </w:pPr>
            <w:r w:rsidRPr="006F1EE1">
              <w:rPr>
                <w:sz w:val="18"/>
                <w:szCs w:val="18"/>
              </w:rPr>
              <w:t xml:space="preserve">Routine VL testing funded by </w:t>
            </w:r>
            <w:r w:rsidR="00B55E9C">
              <w:rPr>
                <w:sz w:val="18"/>
                <w:szCs w:val="18"/>
              </w:rPr>
              <w:t>Unitaid</w:t>
            </w:r>
            <w:r w:rsidRPr="006F1EE1">
              <w:rPr>
                <w:sz w:val="18"/>
                <w:szCs w:val="18"/>
              </w:rPr>
              <w:t xml:space="preserve"> will continue in 2016, except external support to CHAI/OCA/Baylor.</w:t>
            </w:r>
          </w:p>
        </w:tc>
        <w:tc>
          <w:tcPr>
            <w:tcW w:w="3139" w:type="dxa"/>
          </w:tcPr>
          <w:p w14:paraId="51A993FE" w14:textId="72774DB2" w:rsidR="00D97E3B" w:rsidRPr="006F1EE1" w:rsidRDefault="00B61C4F" w:rsidP="00873066">
            <w:pPr>
              <w:pStyle w:val="CEPATabletext"/>
              <w:ind w:left="-10"/>
              <w:rPr>
                <w:sz w:val="18"/>
                <w:szCs w:val="18"/>
              </w:rPr>
            </w:pPr>
            <w:r>
              <w:rPr>
                <w:sz w:val="18"/>
                <w:szCs w:val="18"/>
              </w:rPr>
              <w:t>MOH</w:t>
            </w:r>
            <w:r w:rsidR="00D97E3B" w:rsidRPr="006F1EE1">
              <w:rPr>
                <w:sz w:val="18"/>
                <w:szCs w:val="18"/>
              </w:rPr>
              <w:t xml:space="preserve"> received a Biocentric platform at NRL with own funds and CHAI support. </w:t>
            </w:r>
          </w:p>
          <w:p w14:paraId="719F61AB" w14:textId="77777777" w:rsidR="00D97E3B" w:rsidRPr="006F1EE1" w:rsidRDefault="00D97E3B" w:rsidP="00873066">
            <w:pPr>
              <w:pStyle w:val="CEPATabletext"/>
              <w:ind w:left="-10"/>
              <w:rPr>
                <w:sz w:val="18"/>
                <w:szCs w:val="18"/>
              </w:rPr>
            </w:pPr>
            <w:r w:rsidRPr="006F1EE1">
              <w:rPr>
                <w:sz w:val="18"/>
                <w:szCs w:val="18"/>
              </w:rPr>
              <w:t>MSF assisted staff training.</w:t>
            </w:r>
          </w:p>
          <w:p w14:paraId="0A72DAA1" w14:textId="77777777" w:rsidR="00D97E3B" w:rsidRPr="006F1EE1" w:rsidRDefault="00D97E3B" w:rsidP="00873066">
            <w:pPr>
              <w:pStyle w:val="CEPATabletext"/>
              <w:ind w:left="-10"/>
              <w:rPr>
                <w:sz w:val="18"/>
                <w:szCs w:val="18"/>
              </w:rPr>
            </w:pPr>
            <w:r w:rsidRPr="006F1EE1">
              <w:rPr>
                <w:sz w:val="18"/>
                <w:szCs w:val="18"/>
              </w:rPr>
              <w:t>Study to validate Biocentric platform for plasma VL, DBS VL and DBS EID underway. Late completion expected by Q3 2017 due to delays from ethics boards; delivery of reagents; and recruitment of patients. Will be finalised post-grant with MSF funds.</w:t>
            </w:r>
          </w:p>
        </w:tc>
      </w:tr>
      <w:tr w:rsidR="00D97E3B" w14:paraId="488F0925" w14:textId="77777777" w:rsidTr="00894BCA">
        <w:tc>
          <w:tcPr>
            <w:tcW w:w="0" w:type="auto"/>
          </w:tcPr>
          <w:p w14:paraId="157395DA" w14:textId="77777777" w:rsidR="00D97E3B" w:rsidRPr="006F1EE1" w:rsidRDefault="00D97E3B" w:rsidP="00873066">
            <w:pPr>
              <w:pStyle w:val="CEPATabletext"/>
              <w:rPr>
                <w:sz w:val="18"/>
                <w:szCs w:val="18"/>
              </w:rPr>
            </w:pPr>
            <w:r w:rsidRPr="006F1EE1">
              <w:rPr>
                <w:sz w:val="18"/>
                <w:szCs w:val="18"/>
              </w:rPr>
              <w:t>Uganda OCP</w:t>
            </w:r>
          </w:p>
        </w:tc>
        <w:tc>
          <w:tcPr>
            <w:tcW w:w="3138" w:type="dxa"/>
          </w:tcPr>
          <w:p w14:paraId="0E4888F7" w14:textId="77777777" w:rsidR="00D97E3B" w:rsidRPr="006F1EE1" w:rsidRDefault="00D97E3B" w:rsidP="00873066">
            <w:pPr>
              <w:pStyle w:val="CEPATabletext"/>
              <w:ind w:left="-10"/>
              <w:rPr>
                <w:sz w:val="18"/>
                <w:szCs w:val="18"/>
              </w:rPr>
            </w:pPr>
            <w:r w:rsidRPr="006F1EE1">
              <w:rPr>
                <w:sz w:val="18"/>
                <w:szCs w:val="18"/>
              </w:rPr>
              <w:t>Delays including MSF lab requiring change of location</w:t>
            </w:r>
          </w:p>
          <w:p w14:paraId="0FBB2B20" w14:textId="77777777" w:rsidR="00D97E3B" w:rsidRPr="006F1EE1" w:rsidRDefault="00D97E3B" w:rsidP="00873066">
            <w:pPr>
              <w:pStyle w:val="CEPATabletext"/>
              <w:ind w:left="-10"/>
              <w:rPr>
                <w:sz w:val="18"/>
                <w:szCs w:val="18"/>
              </w:rPr>
            </w:pPr>
            <w:r w:rsidRPr="006F1EE1">
              <w:rPr>
                <w:sz w:val="18"/>
                <w:szCs w:val="18"/>
              </w:rPr>
              <w:t>SAMBA VL activities started</w:t>
            </w:r>
          </w:p>
          <w:p w14:paraId="1A72115E" w14:textId="77777777" w:rsidR="00D97E3B" w:rsidRPr="006F1EE1" w:rsidRDefault="00D97E3B" w:rsidP="00873066">
            <w:pPr>
              <w:pStyle w:val="CEPATabletext"/>
              <w:ind w:left="-10"/>
              <w:rPr>
                <w:sz w:val="18"/>
                <w:szCs w:val="18"/>
              </w:rPr>
            </w:pPr>
            <w:r w:rsidRPr="006F1EE1">
              <w:rPr>
                <w:sz w:val="18"/>
                <w:szCs w:val="18"/>
              </w:rPr>
              <w:t>Hospital director decision for SAMBA results to be used to make switch to 2nd line</w:t>
            </w:r>
          </w:p>
          <w:p w14:paraId="2510F31B" w14:textId="65ECA929" w:rsidR="00D97E3B" w:rsidRPr="006F1EE1" w:rsidRDefault="00D97E3B" w:rsidP="00873066">
            <w:pPr>
              <w:pStyle w:val="CEPATabletext"/>
              <w:ind w:left="-10"/>
              <w:rPr>
                <w:sz w:val="18"/>
                <w:szCs w:val="18"/>
              </w:rPr>
            </w:pPr>
            <w:r w:rsidRPr="006F1EE1">
              <w:rPr>
                <w:sz w:val="18"/>
                <w:szCs w:val="18"/>
              </w:rPr>
              <w:t xml:space="preserve">Sustainability most important aspect: </w:t>
            </w:r>
            <w:r w:rsidR="00B61C4F">
              <w:rPr>
                <w:sz w:val="18"/>
                <w:szCs w:val="18"/>
              </w:rPr>
              <w:t>MOH</w:t>
            </w:r>
            <w:r w:rsidRPr="006F1EE1">
              <w:rPr>
                <w:sz w:val="18"/>
                <w:szCs w:val="18"/>
              </w:rPr>
              <w:t xml:space="preserve"> will take over ART clinic and MSF to remain in charge of PoC VL/EID activities.</w:t>
            </w:r>
          </w:p>
        </w:tc>
        <w:tc>
          <w:tcPr>
            <w:tcW w:w="3138" w:type="dxa"/>
          </w:tcPr>
          <w:p w14:paraId="164B0FE1" w14:textId="77777777" w:rsidR="00D97E3B" w:rsidRPr="006F1EE1" w:rsidRDefault="00D97E3B" w:rsidP="00873066">
            <w:pPr>
              <w:pStyle w:val="CEPATabletext"/>
              <w:ind w:left="-10"/>
              <w:rPr>
                <w:sz w:val="18"/>
                <w:szCs w:val="18"/>
              </w:rPr>
            </w:pPr>
            <w:r w:rsidRPr="006F1EE1">
              <w:rPr>
                <w:sz w:val="18"/>
                <w:szCs w:val="18"/>
              </w:rPr>
              <w:t xml:space="preserve">VL monitoring started Sept 2013. </w:t>
            </w:r>
          </w:p>
          <w:p w14:paraId="58ACDFA3" w14:textId="77777777" w:rsidR="00D97E3B" w:rsidRPr="006F1EE1" w:rsidRDefault="00D97E3B" w:rsidP="00873066">
            <w:pPr>
              <w:pStyle w:val="CEPATabletext"/>
              <w:ind w:left="-10"/>
              <w:rPr>
                <w:sz w:val="18"/>
                <w:szCs w:val="18"/>
              </w:rPr>
            </w:pPr>
            <w:r w:rsidRPr="006F1EE1">
              <w:rPr>
                <w:sz w:val="18"/>
                <w:szCs w:val="18"/>
              </w:rPr>
              <w:t xml:space="preserve">SAMBA II validated for use in Uganda. </w:t>
            </w:r>
          </w:p>
          <w:p w14:paraId="7B0C5331" w14:textId="77777777" w:rsidR="00D97E3B" w:rsidRPr="006F1EE1" w:rsidRDefault="00D97E3B" w:rsidP="00873066">
            <w:pPr>
              <w:pStyle w:val="CEPATabletext"/>
              <w:ind w:left="-10"/>
              <w:rPr>
                <w:sz w:val="18"/>
                <w:szCs w:val="18"/>
              </w:rPr>
            </w:pPr>
            <w:r w:rsidRPr="006F1EE1">
              <w:rPr>
                <w:sz w:val="18"/>
                <w:szCs w:val="18"/>
              </w:rPr>
              <w:t>Plan to support PMTCT unit of Arua Regional Referral Hospital with EID. Must be run under a research protocol until SAMBA 2 EID receives quality certifications.</w:t>
            </w:r>
          </w:p>
        </w:tc>
        <w:tc>
          <w:tcPr>
            <w:tcW w:w="3138" w:type="dxa"/>
          </w:tcPr>
          <w:p w14:paraId="22E07CFB" w14:textId="1DD6C13E" w:rsidR="00D97E3B" w:rsidRPr="006F1EE1" w:rsidRDefault="00B61C4F" w:rsidP="00873066">
            <w:pPr>
              <w:pStyle w:val="CEPATabletext"/>
              <w:ind w:left="-10"/>
              <w:rPr>
                <w:sz w:val="18"/>
                <w:szCs w:val="18"/>
              </w:rPr>
            </w:pPr>
            <w:r>
              <w:rPr>
                <w:sz w:val="18"/>
                <w:szCs w:val="18"/>
              </w:rPr>
              <w:t>MOH</w:t>
            </w:r>
            <w:r w:rsidR="00D97E3B" w:rsidRPr="006F1EE1">
              <w:rPr>
                <w:sz w:val="18"/>
                <w:szCs w:val="18"/>
              </w:rPr>
              <w:t xml:space="preserve"> rolled out a national VL testing program using DBS, but demand from </w:t>
            </w:r>
            <w:r>
              <w:rPr>
                <w:sz w:val="18"/>
                <w:szCs w:val="18"/>
              </w:rPr>
              <w:t>MOH</w:t>
            </w:r>
            <w:r w:rsidR="00D97E3B" w:rsidRPr="006F1EE1">
              <w:rPr>
                <w:sz w:val="18"/>
                <w:szCs w:val="18"/>
              </w:rPr>
              <w:t xml:space="preserve"> sites is still low.</w:t>
            </w:r>
          </w:p>
        </w:tc>
        <w:tc>
          <w:tcPr>
            <w:tcW w:w="3139" w:type="dxa"/>
          </w:tcPr>
          <w:p w14:paraId="19277E88" w14:textId="77777777" w:rsidR="00D97E3B" w:rsidRPr="006F1EE1" w:rsidRDefault="00D97E3B" w:rsidP="00873066">
            <w:pPr>
              <w:pStyle w:val="CEPATabletext"/>
              <w:ind w:left="-10"/>
              <w:rPr>
                <w:sz w:val="18"/>
                <w:szCs w:val="18"/>
              </w:rPr>
            </w:pPr>
            <w:r w:rsidRPr="006F1EE1">
              <w:rPr>
                <w:sz w:val="18"/>
                <w:szCs w:val="18"/>
              </w:rPr>
              <w:t xml:space="preserve">Study assessing POC EID did not start in 2016 due to delays in procuring devices and cartridges. The study will be implemented as of Q1 2017 with MSF covering costs that occur after closure of the grant. </w:t>
            </w:r>
          </w:p>
          <w:p w14:paraId="1B2DD69D" w14:textId="77777777" w:rsidR="00D97E3B" w:rsidRPr="006F1EE1" w:rsidRDefault="00D97E3B" w:rsidP="00873066">
            <w:pPr>
              <w:pStyle w:val="CEPATabletext"/>
              <w:ind w:left="-10"/>
              <w:rPr>
                <w:sz w:val="18"/>
                <w:szCs w:val="18"/>
              </w:rPr>
            </w:pPr>
            <w:r w:rsidRPr="006F1EE1">
              <w:rPr>
                <w:sz w:val="18"/>
                <w:szCs w:val="18"/>
              </w:rPr>
              <w:t>Evaluation study for the VL platform SAMBA II has started: expected completion by end 2017, and funded by MSF beyond grant end.</w:t>
            </w:r>
          </w:p>
        </w:tc>
      </w:tr>
      <w:tr w:rsidR="00D97E3B" w14:paraId="0382ACA2" w14:textId="77777777" w:rsidTr="00894BCA">
        <w:tc>
          <w:tcPr>
            <w:tcW w:w="0" w:type="auto"/>
          </w:tcPr>
          <w:p w14:paraId="325EAE8D" w14:textId="77777777" w:rsidR="00D97E3B" w:rsidRPr="006F1EE1" w:rsidRDefault="00D97E3B" w:rsidP="00873066">
            <w:pPr>
              <w:pStyle w:val="CEPATabletext"/>
              <w:rPr>
                <w:sz w:val="18"/>
                <w:szCs w:val="18"/>
              </w:rPr>
            </w:pPr>
            <w:r w:rsidRPr="006F1EE1">
              <w:rPr>
                <w:sz w:val="18"/>
                <w:szCs w:val="18"/>
              </w:rPr>
              <w:t>Zimbabwe OCB</w:t>
            </w:r>
          </w:p>
        </w:tc>
        <w:tc>
          <w:tcPr>
            <w:tcW w:w="3138" w:type="dxa"/>
          </w:tcPr>
          <w:p w14:paraId="755B3674" w14:textId="1658E2C9" w:rsidR="00D97E3B" w:rsidRPr="006F1EE1" w:rsidRDefault="00516683" w:rsidP="00873066">
            <w:pPr>
              <w:pStyle w:val="CEPATabletext"/>
              <w:ind w:left="-10"/>
              <w:rPr>
                <w:sz w:val="18"/>
                <w:szCs w:val="18"/>
              </w:rPr>
            </w:pPr>
            <w:r>
              <w:rPr>
                <w:sz w:val="18"/>
                <w:szCs w:val="18"/>
              </w:rPr>
              <w:t>BM</w:t>
            </w:r>
            <w:r w:rsidR="00D97E3B" w:rsidRPr="006F1EE1">
              <w:rPr>
                <w:sz w:val="18"/>
                <w:szCs w:val="18"/>
              </w:rPr>
              <w:t xml:space="preserve"> VL platform and technique of VL on DBS validated by </w:t>
            </w:r>
            <w:r w:rsidR="00B61C4F">
              <w:rPr>
                <w:sz w:val="18"/>
                <w:szCs w:val="18"/>
              </w:rPr>
              <w:t>MOH</w:t>
            </w:r>
            <w:r w:rsidR="00D97E3B" w:rsidRPr="006F1EE1">
              <w:rPr>
                <w:sz w:val="18"/>
                <w:szCs w:val="18"/>
              </w:rPr>
              <w:t>; VL routine activities launched at NMRL; introduced VL data base at NMRL</w:t>
            </w:r>
          </w:p>
          <w:p w14:paraId="4744FB2C" w14:textId="77777777" w:rsidR="00D97E3B" w:rsidRPr="006F1EE1" w:rsidRDefault="00D97E3B" w:rsidP="00873066">
            <w:pPr>
              <w:pStyle w:val="CEPATabletext"/>
              <w:ind w:left="-10"/>
              <w:rPr>
                <w:sz w:val="18"/>
                <w:szCs w:val="18"/>
              </w:rPr>
            </w:pPr>
            <w:r w:rsidRPr="006F1EE1">
              <w:rPr>
                <w:sz w:val="18"/>
                <w:szCs w:val="18"/>
              </w:rPr>
              <w:t>Difference in access to VL due to (i) later introduction and (ii) MSF presence in districts Buhera&gt;Gutu&gt;Chikomba</w:t>
            </w:r>
          </w:p>
          <w:p w14:paraId="3C64AAB7" w14:textId="77777777" w:rsidR="00D97E3B" w:rsidRPr="006F1EE1" w:rsidRDefault="00D97E3B" w:rsidP="00873066">
            <w:pPr>
              <w:pStyle w:val="CEPATabletext"/>
              <w:ind w:left="-10"/>
              <w:rPr>
                <w:sz w:val="18"/>
                <w:szCs w:val="18"/>
              </w:rPr>
            </w:pPr>
            <w:r w:rsidRPr="006F1EE1">
              <w:rPr>
                <w:sz w:val="18"/>
                <w:szCs w:val="18"/>
              </w:rPr>
              <w:t>Routine VL put into GF budget for 2014-16 – accepted by then removed except VL equipment; GF also stopped funding incentives for counsellors</w:t>
            </w:r>
          </w:p>
          <w:p w14:paraId="7CF5FF40" w14:textId="6B00E4A0" w:rsidR="00D97E3B" w:rsidRPr="006F1EE1" w:rsidRDefault="00D97E3B" w:rsidP="00873066">
            <w:pPr>
              <w:pStyle w:val="CEPATabletext"/>
              <w:ind w:left="-10"/>
              <w:rPr>
                <w:sz w:val="18"/>
                <w:szCs w:val="18"/>
              </w:rPr>
            </w:pPr>
            <w:r w:rsidRPr="006F1EE1">
              <w:rPr>
                <w:sz w:val="18"/>
                <w:szCs w:val="18"/>
              </w:rPr>
              <w:t xml:space="preserve">CD4 monitoring stopped since VL intro but </w:t>
            </w:r>
            <w:r w:rsidR="00B61C4F">
              <w:rPr>
                <w:sz w:val="18"/>
                <w:szCs w:val="18"/>
              </w:rPr>
              <w:t>MOH</w:t>
            </w:r>
            <w:r w:rsidRPr="006F1EE1">
              <w:rPr>
                <w:sz w:val="18"/>
                <w:szCs w:val="18"/>
              </w:rPr>
              <w:t xml:space="preserve"> remains with CD4 monitoring (on paper)</w:t>
            </w:r>
          </w:p>
          <w:p w14:paraId="044E331D" w14:textId="77777777" w:rsidR="00D97E3B" w:rsidRPr="006F1EE1" w:rsidRDefault="00D97E3B" w:rsidP="00873066">
            <w:pPr>
              <w:pStyle w:val="CEPATabletext"/>
              <w:ind w:left="-10"/>
              <w:rPr>
                <w:sz w:val="18"/>
                <w:szCs w:val="18"/>
              </w:rPr>
            </w:pPr>
            <w:r w:rsidRPr="006F1EE1">
              <w:rPr>
                <w:sz w:val="18"/>
                <w:szCs w:val="18"/>
              </w:rPr>
              <w:t>EID guidelines for infants to receive DNA PCR testing or RNA-based tests at 6weeks.</w:t>
            </w:r>
          </w:p>
          <w:p w14:paraId="470B9290" w14:textId="77777777" w:rsidR="00D97E3B" w:rsidRPr="006F1EE1" w:rsidRDefault="00D97E3B" w:rsidP="00873066">
            <w:pPr>
              <w:pStyle w:val="CEPATabletext"/>
              <w:ind w:left="-10"/>
              <w:rPr>
                <w:sz w:val="18"/>
                <w:szCs w:val="18"/>
              </w:rPr>
            </w:pPr>
            <w:r w:rsidRPr="006F1EE1">
              <w:rPr>
                <w:sz w:val="18"/>
                <w:szCs w:val="18"/>
              </w:rPr>
              <w:t>MSF participation in Laboratory Partnership forum and GF CCM</w:t>
            </w:r>
          </w:p>
          <w:p w14:paraId="22026C8A" w14:textId="77777777" w:rsidR="00D97E3B" w:rsidRPr="006F1EE1" w:rsidRDefault="00D97E3B" w:rsidP="00873066">
            <w:pPr>
              <w:pStyle w:val="CEPATabletext"/>
              <w:ind w:left="-10"/>
              <w:rPr>
                <w:sz w:val="18"/>
                <w:szCs w:val="18"/>
              </w:rPr>
            </w:pPr>
            <w:r w:rsidRPr="006F1EE1">
              <w:rPr>
                <w:sz w:val="18"/>
                <w:szCs w:val="18"/>
              </w:rPr>
              <w:t xml:space="preserve">Support from PEPFAR for ‘on the job’ mentoring </w:t>
            </w:r>
          </w:p>
        </w:tc>
        <w:tc>
          <w:tcPr>
            <w:tcW w:w="3138" w:type="dxa"/>
          </w:tcPr>
          <w:p w14:paraId="520AB5E2" w14:textId="1C4FC364" w:rsidR="00D97E3B" w:rsidRPr="006F1EE1" w:rsidRDefault="00D97E3B" w:rsidP="00873066">
            <w:pPr>
              <w:pStyle w:val="CEPATabletext"/>
              <w:ind w:left="-10"/>
              <w:rPr>
                <w:sz w:val="18"/>
                <w:szCs w:val="18"/>
              </w:rPr>
            </w:pPr>
            <w:r w:rsidRPr="006F1EE1">
              <w:rPr>
                <w:sz w:val="18"/>
                <w:szCs w:val="18"/>
              </w:rPr>
              <w:t xml:space="preserve">Number of VL sites trained and supported increased from 7 to 12. Further sites not added attributed to lack of push from </w:t>
            </w:r>
            <w:r w:rsidR="00B61C4F">
              <w:rPr>
                <w:sz w:val="18"/>
                <w:szCs w:val="18"/>
              </w:rPr>
              <w:t>MOH</w:t>
            </w:r>
            <w:r w:rsidRPr="006F1EE1">
              <w:rPr>
                <w:sz w:val="18"/>
                <w:szCs w:val="18"/>
              </w:rPr>
              <w:t>CC and delay in placing order for additional platforms with GF funding.</w:t>
            </w:r>
          </w:p>
          <w:p w14:paraId="7FF09170" w14:textId="3B079125" w:rsidR="00D97E3B" w:rsidRPr="006F1EE1" w:rsidRDefault="00D97E3B" w:rsidP="00873066">
            <w:pPr>
              <w:pStyle w:val="CEPATabletext"/>
              <w:ind w:left="-10"/>
              <w:rPr>
                <w:sz w:val="18"/>
                <w:szCs w:val="18"/>
              </w:rPr>
            </w:pPr>
            <w:r w:rsidRPr="006F1EE1">
              <w:rPr>
                <w:sz w:val="18"/>
                <w:szCs w:val="18"/>
              </w:rPr>
              <w:t xml:space="preserve">Due to continuous delay between UNDP and MOHCC the order for 2 </w:t>
            </w:r>
            <w:r w:rsidR="00516683">
              <w:rPr>
                <w:sz w:val="18"/>
                <w:szCs w:val="18"/>
              </w:rPr>
              <w:t>BM</w:t>
            </w:r>
            <w:r w:rsidR="00516683" w:rsidRPr="006F1EE1">
              <w:rPr>
                <w:sz w:val="18"/>
                <w:szCs w:val="18"/>
              </w:rPr>
              <w:t xml:space="preserve"> </w:t>
            </w:r>
            <w:r w:rsidRPr="006F1EE1">
              <w:rPr>
                <w:sz w:val="18"/>
                <w:szCs w:val="18"/>
              </w:rPr>
              <w:t>machine</w:t>
            </w:r>
            <w:r w:rsidR="00516683">
              <w:rPr>
                <w:sz w:val="18"/>
                <w:szCs w:val="18"/>
              </w:rPr>
              <w:t>s</w:t>
            </w:r>
            <w:r w:rsidRPr="006F1EE1">
              <w:rPr>
                <w:sz w:val="18"/>
                <w:szCs w:val="18"/>
              </w:rPr>
              <w:t xml:space="preserve"> on GF was not signed by end 2015 (although MSF gave all specifications end 2013). </w:t>
            </w:r>
          </w:p>
          <w:p w14:paraId="4B087CEF" w14:textId="77777777" w:rsidR="00D97E3B" w:rsidRPr="006F1EE1" w:rsidRDefault="00D97E3B" w:rsidP="00873066">
            <w:pPr>
              <w:pStyle w:val="CEPATabletext"/>
              <w:ind w:left="-10"/>
              <w:rPr>
                <w:sz w:val="18"/>
                <w:szCs w:val="18"/>
              </w:rPr>
            </w:pPr>
            <w:r w:rsidRPr="006F1EE1">
              <w:rPr>
                <w:sz w:val="18"/>
                <w:szCs w:val="18"/>
              </w:rPr>
              <w:t>Low number of VL tests attributed to ‘HR management issues, WHO accreditation requirements and some machine breakdowns’.</w:t>
            </w:r>
          </w:p>
          <w:p w14:paraId="1FADB16C" w14:textId="77777777" w:rsidR="00D97E3B" w:rsidRPr="006F1EE1" w:rsidRDefault="00D97E3B" w:rsidP="00873066">
            <w:pPr>
              <w:pStyle w:val="CEPATabletext"/>
              <w:ind w:left="-10"/>
              <w:rPr>
                <w:sz w:val="18"/>
                <w:szCs w:val="18"/>
              </w:rPr>
            </w:pPr>
            <w:r w:rsidRPr="006F1EE1">
              <w:rPr>
                <w:sz w:val="18"/>
                <w:szCs w:val="18"/>
              </w:rPr>
              <w:t>Technical Working Group formed.</w:t>
            </w:r>
          </w:p>
          <w:p w14:paraId="657C327B" w14:textId="77777777" w:rsidR="00D97E3B" w:rsidRPr="006F1EE1" w:rsidRDefault="00D97E3B" w:rsidP="00873066">
            <w:pPr>
              <w:pStyle w:val="CEPATabletext"/>
              <w:ind w:left="-10"/>
              <w:rPr>
                <w:sz w:val="18"/>
                <w:szCs w:val="18"/>
              </w:rPr>
            </w:pPr>
            <w:r w:rsidRPr="006F1EE1">
              <w:rPr>
                <w:sz w:val="18"/>
                <w:szCs w:val="18"/>
              </w:rPr>
              <w:t xml:space="preserve">Delays attributed to laboratory department not taking a clear stand on choice of high throughput platform. </w:t>
            </w:r>
          </w:p>
          <w:p w14:paraId="68A98600" w14:textId="77777777" w:rsidR="00D97E3B" w:rsidRPr="006F1EE1" w:rsidRDefault="00D97E3B" w:rsidP="00873066">
            <w:pPr>
              <w:pStyle w:val="CEPATabletext"/>
              <w:ind w:left="-10"/>
              <w:rPr>
                <w:sz w:val="18"/>
                <w:szCs w:val="18"/>
              </w:rPr>
            </w:pPr>
            <w:r w:rsidRPr="006F1EE1">
              <w:rPr>
                <w:sz w:val="18"/>
                <w:szCs w:val="18"/>
              </w:rPr>
              <w:t>“VL pooling” received ERB (MSF) approval – study run in December but had to be stopped as plasma sample coming from MUR suffered from a cold chain breakdown.</w:t>
            </w:r>
          </w:p>
          <w:p w14:paraId="4A86AEBA" w14:textId="77777777" w:rsidR="00D97E3B" w:rsidRPr="006F1EE1" w:rsidRDefault="00D97E3B" w:rsidP="00873066">
            <w:pPr>
              <w:pStyle w:val="CEPATabletext"/>
              <w:ind w:left="-10"/>
              <w:rPr>
                <w:sz w:val="18"/>
                <w:szCs w:val="18"/>
              </w:rPr>
            </w:pPr>
            <w:r w:rsidRPr="006F1EE1">
              <w:rPr>
                <w:sz w:val="18"/>
                <w:szCs w:val="18"/>
              </w:rPr>
              <w:t xml:space="preserve">Good BM reagent price negotiated. </w:t>
            </w:r>
          </w:p>
        </w:tc>
        <w:tc>
          <w:tcPr>
            <w:tcW w:w="3138" w:type="dxa"/>
          </w:tcPr>
          <w:p w14:paraId="2BE9F1A9" w14:textId="2C580CAA" w:rsidR="00D97E3B" w:rsidRPr="006F1EE1" w:rsidRDefault="00D97E3B" w:rsidP="00873066">
            <w:pPr>
              <w:pStyle w:val="CEPATabletext"/>
              <w:ind w:left="-10"/>
              <w:rPr>
                <w:sz w:val="18"/>
                <w:szCs w:val="18"/>
              </w:rPr>
            </w:pPr>
            <w:r w:rsidRPr="006F1EE1">
              <w:rPr>
                <w:sz w:val="18"/>
                <w:szCs w:val="18"/>
              </w:rPr>
              <w:t xml:space="preserve">Delays cited to explain continuous but slow progress: writing &amp; finalizing national VL roll out plan; platform selection and purchase by </w:t>
            </w:r>
            <w:r w:rsidR="00B61C4F">
              <w:rPr>
                <w:sz w:val="18"/>
                <w:szCs w:val="18"/>
              </w:rPr>
              <w:t>MOH</w:t>
            </w:r>
            <w:r w:rsidRPr="006F1EE1">
              <w:rPr>
                <w:sz w:val="18"/>
                <w:szCs w:val="18"/>
              </w:rPr>
              <w:t xml:space="preserve">CC/UNDP; building lab capacity; device breakdown; etc. </w:t>
            </w:r>
          </w:p>
          <w:p w14:paraId="48E89CF0" w14:textId="77777777" w:rsidR="00D97E3B" w:rsidRPr="006F1EE1" w:rsidRDefault="00D97E3B" w:rsidP="00873066">
            <w:pPr>
              <w:pStyle w:val="CEPATabletext"/>
              <w:ind w:left="-10"/>
              <w:rPr>
                <w:sz w:val="18"/>
                <w:szCs w:val="18"/>
              </w:rPr>
            </w:pPr>
            <w:r w:rsidRPr="006F1EE1">
              <w:rPr>
                <w:sz w:val="18"/>
                <w:szCs w:val="18"/>
              </w:rPr>
              <w:t>Zimbabwe VL roll out plan (2015-2018) approved by the highest level of MOHCC in May 2015.</w:t>
            </w:r>
          </w:p>
          <w:p w14:paraId="1ED9740A" w14:textId="77777777" w:rsidR="00D97E3B" w:rsidRPr="006F1EE1" w:rsidRDefault="00D97E3B" w:rsidP="00873066">
            <w:pPr>
              <w:pStyle w:val="CEPATabletext"/>
              <w:ind w:left="-10"/>
              <w:rPr>
                <w:sz w:val="18"/>
                <w:szCs w:val="18"/>
              </w:rPr>
            </w:pPr>
            <w:r w:rsidRPr="006F1EE1">
              <w:rPr>
                <w:sz w:val="18"/>
                <w:szCs w:val="18"/>
              </w:rPr>
              <w:t>Continued training of health facilities for VL.</w:t>
            </w:r>
          </w:p>
          <w:p w14:paraId="174556BD" w14:textId="77777777" w:rsidR="00D97E3B" w:rsidRPr="006F1EE1" w:rsidRDefault="00D97E3B" w:rsidP="00873066">
            <w:pPr>
              <w:pStyle w:val="CEPATabletext"/>
              <w:ind w:left="-10"/>
              <w:rPr>
                <w:sz w:val="18"/>
                <w:szCs w:val="18"/>
              </w:rPr>
            </w:pPr>
            <w:r w:rsidRPr="006F1EE1">
              <w:rPr>
                <w:sz w:val="18"/>
                <w:szCs w:val="18"/>
              </w:rPr>
              <w:t>Rehabilitation of 3 laboratories.</w:t>
            </w:r>
          </w:p>
          <w:p w14:paraId="5A1D3F7D" w14:textId="77777777" w:rsidR="00D97E3B" w:rsidRPr="006F1EE1" w:rsidRDefault="00D97E3B" w:rsidP="00873066">
            <w:pPr>
              <w:pStyle w:val="CEPATabletext"/>
              <w:ind w:left="-10"/>
              <w:rPr>
                <w:sz w:val="18"/>
                <w:szCs w:val="18"/>
              </w:rPr>
            </w:pPr>
            <w:r w:rsidRPr="006F1EE1">
              <w:rPr>
                <w:sz w:val="18"/>
                <w:szCs w:val="18"/>
              </w:rPr>
              <w:t>EasyMag platforms acquired from MSF Malawi / bought using OCA funding, now fully functional.</w:t>
            </w:r>
          </w:p>
          <w:p w14:paraId="2F198C68" w14:textId="77777777" w:rsidR="00D97E3B" w:rsidRPr="006F1EE1" w:rsidRDefault="00D97E3B" w:rsidP="00873066">
            <w:pPr>
              <w:pStyle w:val="CEPATabletext"/>
              <w:ind w:left="-10"/>
              <w:rPr>
                <w:sz w:val="18"/>
                <w:szCs w:val="18"/>
              </w:rPr>
            </w:pPr>
            <w:r w:rsidRPr="006F1EE1">
              <w:rPr>
                <w:sz w:val="18"/>
                <w:szCs w:val="18"/>
              </w:rPr>
              <w:t>VL delays expected in 2016 following UNDP inability to procure BM products.</w:t>
            </w:r>
          </w:p>
          <w:p w14:paraId="022C3E23" w14:textId="48EA8F87" w:rsidR="00D97E3B" w:rsidRPr="006F1EE1" w:rsidRDefault="00D97E3B" w:rsidP="00873066">
            <w:pPr>
              <w:pStyle w:val="CEPATabletext"/>
              <w:ind w:left="-10"/>
              <w:rPr>
                <w:sz w:val="18"/>
                <w:szCs w:val="18"/>
              </w:rPr>
            </w:pPr>
            <w:r w:rsidRPr="006F1EE1">
              <w:rPr>
                <w:sz w:val="18"/>
                <w:szCs w:val="18"/>
              </w:rPr>
              <w:t xml:space="preserve">New agreement negotiated by MSF-Supply with </w:t>
            </w:r>
            <w:r w:rsidR="007B10C8">
              <w:rPr>
                <w:sz w:val="18"/>
                <w:szCs w:val="18"/>
              </w:rPr>
              <w:t>BM</w:t>
            </w:r>
            <w:r w:rsidRPr="006F1EE1">
              <w:rPr>
                <w:sz w:val="18"/>
                <w:szCs w:val="18"/>
              </w:rPr>
              <w:t xml:space="preserve"> for 2016 for Zimbabwe for $14.50 / test for a volume of 30.000 tests (includes maintenance). </w:t>
            </w:r>
          </w:p>
        </w:tc>
        <w:tc>
          <w:tcPr>
            <w:tcW w:w="3139" w:type="dxa"/>
          </w:tcPr>
          <w:p w14:paraId="76587BB6" w14:textId="6991099A" w:rsidR="00D97E3B" w:rsidRPr="006F1EE1" w:rsidRDefault="00D97E3B" w:rsidP="00873066">
            <w:pPr>
              <w:pStyle w:val="CEPATabletext"/>
              <w:ind w:left="-10"/>
              <w:rPr>
                <w:sz w:val="18"/>
                <w:szCs w:val="18"/>
              </w:rPr>
            </w:pPr>
            <w:r w:rsidRPr="006F1EE1">
              <w:rPr>
                <w:sz w:val="18"/>
                <w:szCs w:val="18"/>
              </w:rPr>
              <w:t xml:space="preserve">Completed a study assessing VL and EID testing on the GeneXpert platform and received approval by the </w:t>
            </w:r>
            <w:r w:rsidR="00B61C4F">
              <w:rPr>
                <w:sz w:val="18"/>
                <w:szCs w:val="18"/>
              </w:rPr>
              <w:t>MOH</w:t>
            </w:r>
            <w:r w:rsidRPr="006F1EE1">
              <w:rPr>
                <w:sz w:val="18"/>
                <w:szCs w:val="18"/>
              </w:rPr>
              <w:t xml:space="preserve"> to use GeneXpert for VL and EID testing in districts where MSF is operating.</w:t>
            </w:r>
          </w:p>
          <w:p w14:paraId="3B8EDB66" w14:textId="174C27AE" w:rsidR="00D97E3B" w:rsidRPr="006F1EE1" w:rsidRDefault="00D97E3B" w:rsidP="00873066">
            <w:pPr>
              <w:pStyle w:val="CEPATabletext"/>
              <w:ind w:left="-10"/>
              <w:rPr>
                <w:sz w:val="18"/>
                <w:szCs w:val="18"/>
              </w:rPr>
            </w:pPr>
            <w:r w:rsidRPr="006F1EE1">
              <w:rPr>
                <w:sz w:val="18"/>
                <w:szCs w:val="18"/>
              </w:rPr>
              <w:t xml:space="preserve">Mitigated results in terms of VL </w:t>
            </w:r>
            <w:r w:rsidR="004D0E48">
              <w:rPr>
                <w:sz w:val="18"/>
                <w:szCs w:val="18"/>
              </w:rPr>
              <w:t>TAT</w:t>
            </w:r>
            <w:r w:rsidRPr="006F1EE1">
              <w:rPr>
                <w:sz w:val="18"/>
                <w:szCs w:val="18"/>
              </w:rPr>
              <w:t xml:space="preserve">s (beyond MSF control as lab service handed over to </w:t>
            </w:r>
            <w:r w:rsidR="00B61C4F">
              <w:rPr>
                <w:sz w:val="18"/>
                <w:szCs w:val="18"/>
              </w:rPr>
              <w:t>MOH</w:t>
            </w:r>
            <w:r w:rsidRPr="006F1EE1">
              <w:rPr>
                <w:sz w:val="18"/>
                <w:szCs w:val="18"/>
              </w:rPr>
              <w:t>).</w:t>
            </w:r>
          </w:p>
          <w:p w14:paraId="7283A035" w14:textId="77777777" w:rsidR="00D97E3B" w:rsidRPr="006F1EE1" w:rsidRDefault="00D97E3B" w:rsidP="00873066">
            <w:pPr>
              <w:pStyle w:val="CEPATabletext"/>
              <w:ind w:left="-10"/>
              <w:rPr>
                <w:sz w:val="18"/>
                <w:szCs w:val="18"/>
              </w:rPr>
            </w:pPr>
            <w:r w:rsidRPr="006F1EE1">
              <w:rPr>
                <w:sz w:val="18"/>
                <w:szCs w:val="18"/>
              </w:rPr>
              <w:t>Rates of switch to second-line ART remained lower than expected.</w:t>
            </w:r>
          </w:p>
          <w:p w14:paraId="3EA60E62" w14:textId="77777777" w:rsidR="00D97E3B" w:rsidRPr="006F1EE1" w:rsidRDefault="00D97E3B" w:rsidP="00873066">
            <w:pPr>
              <w:pStyle w:val="CEPATabletext"/>
              <w:ind w:left="-10"/>
              <w:rPr>
                <w:sz w:val="18"/>
                <w:szCs w:val="18"/>
              </w:rPr>
            </w:pPr>
            <w:r w:rsidRPr="006F1EE1">
              <w:rPr>
                <w:sz w:val="18"/>
                <w:szCs w:val="18"/>
              </w:rPr>
              <w:t>MSF did an economic evaluation of VL testing and EID in Gutu as a showcase for a rural Zimbabwean district. Conclusions were widely shared with MOH.</w:t>
            </w:r>
          </w:p>
        </w:tc>
      </w:tr>
    </w:tbl>
    <w:p w14:paraId="47256CF6" w14:textId="77777777" w:rsidR="00D97E3B" w:rsidRPr="001070E0" w:rsidRDefault="00D97E3B" w:rsidP="00D97E3B">
      <w:pPr>
        <w:rPr>
          <w:lang w:val="en-US"/>
        </w:rPr>
      </w:pPr>
    </w:p>
    <w:p w14:paraId="01D1F65B" w14:textId="77777777" w:rsidR="00D97E3B" w:rsidRDefault="00D97E3B" w:rsidP="00D97E3B">
      <w:pPr>
        <w:spacing w:after="160" w:line="259" w:lineRule="auto"/>
        <w:jc w:val="left"/>
        <w:rPr>
          <w:rFonts w:asciiTheme="minorHAnsi" w:eastAsiaTheme="majorEastAsia" w:hAnsiTheme="minorHAnsi" w:cstheme="majorBidi"/>
          <w:b/>
          <w:iCs/>
          <w:smallCaps/>
          <w:sz w:val="28"/>
        </w:rPr>
      </w:pPr>
      <w:r>
        <w:br w:type="page"/>
      </w:r>
    </w:p>
    <w:p w14:paraId="6EE4C47E" w14:textId="2C79F586" w:rsidR="00D97E3B" w:rsidRDefault="00A72586" w:rsidP="00D97E3B">
      <w:pPr>
        <w:pStyle w:val="Heading7"/>
        <w:numPr>
          <w:ilvl w:val="0"/>
          <w:numId w:val="3"/>
        </w:numPr>
      </w:pPr>
      <w:bookmarkStart w:id="710" w:name="_Toc500445664"/>
      <w:bookmarkStart w:id="711" w:name="_Toc500503144"/>
      <w:bookmarkStart w:id="712" w:name="_Toc500508125"/>
      <w:bookmarkStart w:id="713" w:name="_Toc500512853"/>
      <w:bookmarkStart w:id="714" w:name="_Toc500517779"/>
      <w:bookmarkStart w:id="715" w:name="_Toc500519594"/>
      <w:bookmarkStart w:id="716" w:name="_Toc500524441"/>
      <w:bookmarkStart w:id="717" w:name="_Toc506417413"/>
      <w:bookmarkStart w:id="718" w:name="_Toc515359237"/>
      <w:r>
        <w:t xml:space="preserve">Sustainability of </w:t>
      </w:r>
      <w:bookmarkEnd w:id="710"/>
      <w:bookmarkEnd w:id="711"/>
      <w:bookmarkEnd w:id="712"/>
      <w:bookmarkEnd w:id="713"/>
      <w:bookmarkEnd w:id="714"/>
      <w:bookmarkEnd w:id="715"/>
      <w:bookmarkEnd w:id="716"/>
      <w:bookmarkEnd w:id="717"/>
      <w:r w:rsidR="00B6205B">
        <w:t>country programmes</w:t>
      </w:r>
      <w:bookmarkEnd w:id="718"/>
      <w:r w:rsidR="00B6205B">
        <w:t xml:space="preserve"> </w:t>
      </w:r>
    </w:p>
    <w:p w14:paraId="595301E5" w14:textId="5FC700DE" w:rsidR="00D97E3B" w:rsidRDefault="00D97E3B" w:rsidP="00D97E3B">
      <w:pPr>
        <w:pStyle w:val="CEPAReportText"/>
      </w:pPr>
      <w:r>
        <w:t xml:space="preserve">This annex provides a summary of key activities undertaken to support </w:t>
      </w:r>
      <w:r w:rsidR="003C6684">
        <w:t>hand-over</w:t>
      </w:r>
      <w:r>
        <w:t xml:space="preserve"> of MSF projects in country and the current status as per the End of Project Report. It includes a rating of the progress made towards sustainability of project activities, as follows:</w:t>
      </w:r>
    </w:p>
    <w:p w14:paraId="607CA327" w14:textId="1BFB5F3B" w:rsidR="00D97E3B" w:rsidRDefault="00D97E3B" w:rsidP="00D97E3B">
      <w:pPr>
        <w:pStyle w:val="CEPABullets"/>
      </w:pPr>
      <w:r>
        <w:t xml:space="preserve">A </w:t>
      </w:r>
      <w:r w:rsidRPr="00B61EC6">
        <w:rPr>
          <w:b/>
        </w:rPr>
        <w:t>green rating</w:t>
      </w:r>
      <w:r>
        <w:t xml:space="preserve"> indicates that a good degree of progress has been made on </w:t>
      </w:r>
      <w:r w:rsidR="00D73133">
        <w:t>sustainability in terms of hand-over to the government and other donors</w:t>
      </w:r>
      <w:r>
        <w:t>.</w:t>
      </w:r>
    </w:p>
    <w:p w14:paraId="288BFDC4" w14:textId="0089D087" w:rsidR="00D97E3B" w:rsidRDefault="00D97E3B" w:rsidP="00D97E3B">
      <w:pPr>
        <w:pStyle w:val="CEPABullets"/>
      </w:pPr>
      <w:r>
        <w:t xml:space="preserve">An </w:t>
      </w:r>
      <w:r w:rsidRPr="00B61EC6">
        <w:rPr>
          <w:b/>
        </w:rPr>
        <w:t>amber rating</w:t>
      </w:r>
      <w:r>
        <w:t xml:space="preserve"> indicates that some progress has been made on sustainability</w:t>
      </w:r>
      <w:r w:rsidR="00D73133">
        <w:t xml:space="preserve"> e.g. continued funding/ programmes by MSF, hand-over of specific components or aspects of the MSF work, etc</w:t>
      </w:r>
      <w:r>
        <w:t>.</w:t>
      </w:r>
    </w:p>
    <w:p w14:paraId="1D92FF94" w14:textId="66F493B4" w:rsidR="00D97E3B" w:rsidRDefault="00D97E3B" w:rsidP="00D97E3B">
      <w:pPr>
        <w:pStyle w:val="CEPABullets"/>
      </w:pPr>
      <w:r>
        <w:t xml:space="preserve">A </w:t>
      </w:r>
      <w:r w:rsidRPr="00B61EC6">
        <w:rPr>
          <w:b/>
        </w:rPr>
        <w:t>red rating</w:t>
      </w:r>
      <w:r>
        <w:t xml:space="preserve"> indicates that </w:t>
      </w:r>
      <w:r w:rsidR="00D73133">
        <w:t>less</w:t>
      </w:r>
      <w:r>
        <w:t xml:space="preserve"> progress has been made on sustainability</w:t>
      </w:r>
      <w:r w:rsidR="00D73133">
        <w:t xml:space="preserve"> i.e. the diagnostic platform and approach have not been taken forward for a number of reasons included limited feasibility</w:t>
      </w:r>
      <w:r>
        <w:t>.</w:t>
      </w:r>
    </w:p>
    <w:p w14:paraId="27F9AE10" w14:textId="4B7F1FD2" w:rsidR="00337DE2" w:rsidRPr="00D73133" w:rsidRDefault="00D73133" w:rsidP="00337DE2">
      <w:pPr>
        <w:pStyle w:val="CEPABullets"/>
        <w:numPr>
          <w:ilvl w:val="0"/>
          <w:numId w:val="0"/>
        </w:numPr>
        <w:rPr>
          <w:b/>
        </w:rPr>
      </w:pPr>
      <w:r>
        <w:rPr>
          <w:b/>
        </w:rPr>
        <w:t xml:space="preserve">Please note that this is based on </w:t>
      </w:r>
      <w:r w:rsidR="00337DE2" w:rsidRPr="00D73133">
        <w:rPr>
          <w:b/>
        </w:rPr>
        <w:t xml:space="preserve">CEPA’s subjective assessment </w:t>
      </w:r>
      <w:r>
        <w:rPr>
          <w:b/>
        </w:rPr>
        <w:t>drawing</w:t>
      </w:r>
      <w:r w:rsidR="00337DE2" w:rsidRPr="00D73133">
        <w:rPr>
          <w:b/>
        </w:rPr>
        <w:t xml:space="preserve"> on a desk review of MSF progress reports, and may not present the full picture as our consultations have not covered all countries. </w:t>
      </w:r>
    </w:p>
    <w:p w14:paraId="2B638D29" w14:textId="7311C1E1" w:rsidR="00D97E3B" w:rsidRPr="009E3E34" w:rsidRDefault="00D97E3B" w:rsidP="00D97E3B">
      <w:pPr>
        <w:keepNext/>
        <w:spacing w:before="60" w:after="60"/>
        <w:rPr>
          <w:i/>
          <w:sz w:val="22"/>
        </w:rPr>
      </w:pPr>
      <w:r w:rsidRPr="009E3E34">
        <w:rPr>
          <w:i/>
          <w:sz w:val="22"/>
        </w:rPr>
        <w:t xml:space="preserve">Table </w:t>
      </w:r>
      <w:r w:rsidR="00894BCA">
        <w:rPr>
          <w:i/>
          <w:sz w:val="22"/>
        </w:rPr>
        <w:t>H.1:</w:t>
      </w:r>
      <w:r w:rsidR="00330121">
        <w:rPr>
          <w:i/>
          <w:sz w:val="22"/>
        </w:rPr>
        <w:t xml:space="preserve"> </w:t>
      </w:r>
      <w:r w:rsidRPr="009E3E34">
        <w:rPr>
          <w:i/>
          <w:sz w:val="22"/>
        </w:rPr>
        <w:t xml:space="preserve">Activities undertaken by MSF to support </w:t>
      </w:r>
      <w:r w:rsidR="003C6684">
        <w:rPr>
          <w:i/>
          <w:sz w:val="22"/>
        </w:rPr>
        <w:t>hand-over</w:t>
      </w:r>
      <w:r w:rsidRPr="009E3E34">
        <w:rPr>
          <w:i/>
          <w:sz w:val="22"/>
        </w:rPr>
        <w:t xml:space="preserve"> of project activities, and the current status as per the End of Project Report.</w:t>
      </w:r>
    </w:p>
    <w:tbl>
      <w:tblPr>
        <w:tblStyle w:val="TableGrid2"/>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123"/>
        <w:gridCol w:w="5526"/>
        <w:gridCol w:w="6299"/>
      </w:tblGrid>
      <w:tr w:rsidR="00D97E3B" w:rsidRPr="009E3E34" w14:paraId="224C543B" w14:textId="77777777" w:rsidTr="00873066">
        <w:trPr>
          <w:tblHeader/>
        </w:trPr>
        <w:tc>
          <w:tcPr>
            <w:tcW w:w="761" w:type="pct"/>
            <w:shd w:val="solid" w:color="4B86CD" w:fill="auto"/>
          </w:tcPr>
          <w:p w14:paraId="252B20CF" w14:textId="77777777" w:rsidR="00D97E3B" w:rsidRPr="006F1EE1" w:rsidRDefault="00D97E3B" w:rsidP="00873066">
            <w:pPr>
              <w:spacing w:before="60" w:after="60"/>
              <w:jc w:val="left"/>
              <w:rPr>
                <w:b/>
                <w:color w:val="FFFFFF"/>
                <w:sz w:val="18"/>
                <w:szCs w:val="18"/>
              </w:rPr>
            </w:pPr>
            <w:r w:rsidRPr="006F1EE1">
              <w:rPr>
                <w:b/>
                <w:color w:val="FFFFFF"/>
                <w:sz w:val="18"/>
                <w:szCs w:val="18"/>
              </w:rPr>
              <w:t>Country</w:t>
            </w:r>
          </w:p>
        </w:tc>
        <w:tc>
          <w:tcPr>
            <w:tcW w:w="1981" w:type="pct"/>
            <w:shd w:val="solid" w:color="4B86CD" w:fill="auto"/>
          </w:tcPr>
          <w:p w14:paraId="0296608C" w14:textId="5C0C06F4" w:rsidR="00D97E3B" w:rsidRPr="006F1EE1" w:rsidRDefault="00D97E3B" w:rsidP="00873066">
            <w:pPr>
              <w:spacing w:before="60" w:after="60"/>
              <w:jc w:val="left"/>
              <w:rPr>
                <w:b/>
                <w:color w:val="FFFFFF"/>
                <w:sz w:val="18"/>
                <w:szCs w:val="18"/>
              </w:rPr>
            </w:pPr>
            <w:r w:rsidRPr="006F1EE1">
              <w:rPr>
                <w:b/>
                <w:color w:val="FFFFFF"/>
                <w:sz w:val="18"/>
                <w:szCs w:val="18"/>
              </w:rPr>
              <w:t xml:space="preserve">Activities undertaken to support </w:t>
            </w:r>
            <w:r w:rsidR="003C6684">
              <w:rPr>
                <w:b/>
                <w:color w:val="FFFFFF"/>
                <w:sz w:val="18"/>
                <w:szCs w:val="18"/>
              </w:rPr>
              <w:t>hand-over</w:t>
            </w:r>
          </w:p>
        </w:tc>
        <w:tc>
          <w:tcPr>
            <w:tcW w:w="2258" w:type="pct"/>
            <w:shd w:val="solid" w:color="4B86CD" w:fill="auto"/>
          </w:tcPr>
          <w:p w14:paraId="5E0288F0" w14:textId="77777777" w:rsidR="00D97E3B" w:rsidRPr="006F1EE1" w:rsidRDefault="00D97E3B" w:rsidP="00873066">
            <w:pPr>
              <w:spacing w:before="60" w:after="60"/>
              <w:jc w:val="left"/>
              <w:rPr>
                <w:b/>
                <w:color w:val="FFFFFF"/>
                <w:sz w:val="18"/>
                <w:szCs w:val="18"/>
              </w:rPr>
            </w:pPr>
            <w:r w:rsidRPr="006F1EE1">
              <w:rPr>
                <w:b/>
                <w:color w:val="FFFFFF"/>
                <w:sz w:val="18"/>
                <w:szCs w:val="18"/>
              </w:rPr>
              <w:t>Status after project close</w:t>
            </w:r>
          </w:p>
        </w:tc>
      </w:tr>
      <w:tr w:rsidR="00D97E3B" w:rsidRPr="009E3E34" w14:paraId="06D1E512" w14:textId="77777777" w:rsidTr="00EA42EF">
        <w:tc>
          <w:tcPr>
            <w:tcW w:w="761" w:type="pct"/>
          </w:tcPr>
          <w:p w14:paraId="65481B45" w14:textId="77777777" w:rsidR="00D97E3B" w:rsidRPr="006F1EE1" w:rsidRDefault="00D97E3B" w:rsidP="00873066">
            <w:pPr>
              <w:spacing w:before="60" w:after="60"/>
              <w:jc w:val="left"/>
              <w:rPr>
                <w:sz w:val="18"/>
                <w:szCs w:val="18"/>
              </w:rPr>
            </w:pPr>
            <w:r w:rsidRPr="006F1EE1">
              <w:rPr>
                <w:sz w:val="18"/>
                <w:szCs w:val="18"/>
              </w:rPr>
              <w:t>DRC OCB</w:t>
            </w:r>
          </w:p>
        </w:tc>
        <w:tc>
          <w:tcPr>
            <w:tcW w:w="1981" w:type="pct"/>
          </w:tcPr>
          <w:p w14:paraId="1A4B1CFB"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Capacity building and support for in-country VL and EID networking between key actors, with a VL taskforce of all implementing partners in Kinshasa established and measures to improve sharing of resources in place (e.g. better use of Abbott platform capacities through pooling of samples of several partners). MSF organised a  programmatic VL/EID workshop in early 2016, attended by key stakeholders.</w:t>
            </w:r>
          </w:p>
          <w:p w14:paraId="4EA386C6"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Research on optimal technology use. MSF, in collaboration with the country’s AIDS and TB programs, has started a study to validate VL and EID testing on GeneXpert together with TB diagnosis. MSF will complete the study with its own funds in 2017 and the validation is expected in the second half of 2017.</w:t>
            </w:r>
          </w:p>
          <w:p w14:paraId="72763F9B"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Advocacy with MOH and key donors and partners (including GF and CHAI). </w:t>
            </w:r>
          </w:p>
        </w:tc>
        <w:tc>
          <w:tcPr>
            <w:tcW w:w="2258" w:type="pct"/>
            <w:shd w:val="clear" w:color="auto" w:fill="FFC000"/>
          </w:tcPr>
          <w:p w14:paraId="3D7309CE"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Limited funding and capacity for MOH to take over project activities.</w:t>
            </w:r>
          </w:p>
          <w:p w14:paraId="014BFE47" w14:textId="748A7760"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MSF to continue providing VL testing after grant closure through MSF facilities, with some very limited </w:t>
            </w:r>
            <w:r w:rsidR="003C6684">
              <w:rPr>
                <w:sz w:val="18"/>
                <w:szCs w:val="18"/>
              </w:rPr>
              <w:t>hand-over</w:t>
            </w:r>
            <w:r w:rsidRPr="006F1EE1">
              <w:rPr>
                <w:sz w:val="18"/>
                <w:szCs w:val="18"/>
              </w:rPr>
              <w:t xml:space="preserve"> of certain services to MOH (e.g. sample transport).</w:t>
            </w:r>
          </w:p>
          <w:p w14:paraId="5B66A67C"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VL and EID reagents are expected to be funded through GF and PEPFAR.</w:t>
            </w:r>
          </w:p>
          <w:p w14:paraId="0C0DC1D6"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The national TB program operates more than 90 GeneXpert platforms in the country which represent great potential for VL and EID scale-up, should the multiplex-use of the platform be validated by the MSF study.</w:t>
            </w:r>
          </w:p>
        </w:tc>
      </w:tr>
      <w:tr w:rsidR="00D97E3B" w:rsidRPr="009E3E34" w14:paraId="0035B853" w14:textId="77777777" w:rsidTr="00894BCA">
        <w:tc>
          <w:tcPr>
            <w:tcW w:w="761" w:type="pct"/>
          </w:tcPr>
          <w:p w14:paraId="3D4D8B1A" w14:textId="77777777" w:rsidR="00D97E3B" w:rsidRPr="006F1EE1" w:rsidRDefault="00D97E3B" w:rsidP="00873066">
            <w:pPr>
              <w:spacing w:before="60" w:after="60"/>
              <w:jc w:val="left"/>
              <w:rPr>
                <w:sz w:val="18"/>
                <w:szCs w:val="18"/>
              </w:rPr>
            </w:pPr>
            <w:r w:rsidRPr="006F1EE1">
              <w:rPr>
                <w:sz w:val="18"/>
                <w:szCs w:val="18"/>
              </w:rPr>
              <w:t>Kenya OCP</w:t>
            </w:r>
          </w:p>
        </w:tc>
        <w:tc>
          <w:tcPr>
            <w:tcW w:w="1981" w:type="pct"/>
          </w:tcPr>
          <w:p w14:paraId="62DE3AB0"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Continuous HIV testing at all prevention of mother-to-child transmission (PMTCT) entry levels of care (maternal and child health care, out-patient- and in-patient-departments, etc.) was handed over in summer 2016 and is part of the national protocol.</w:t>
            </w:r>
          </w:p>
          <w:p w14:paraId="027E4E67"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Advocacy within the National Lab POC Technical Working Group and with the National HIV Program to advocate for inclusion of POC VL and EID in the national testing strategy.</w:t>
            </w:r>
          </w:p>
          <w:p w14:paraId="42927E70"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Research on POC EID in Ndhiwa, with GeneXpert, which generated positive results and were widely shared with MOH and other partners, contributing to national validation of the GeneXpert platform in spring 2017.</w:t>
            </w:r>
          </w:p>
        </w:tc>
        <w:tc>
          <w:tcPr>
            <w:tcW w:w="2258" w:type="pct"/>
            <w:shd w:val="clear" w:color="auto" w:fill="FF7F7F" w:themeFill="accent6" w:themeFillTint="66"/>
          </w:tcPr>
          <w:p w14:paraId="0909714D" w14:textId="5F9B05C4"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The </w:t>
            </w:r>
            <w:r w:rsidR="00B61C4F">
              <w:rPr>
                <w:sz w:val="18"/>
                <w:szCs w:val="18"/>
              </w:rPr>
              <w:t>MOH</w:t>
            </w:r>
            <w:r w:rsidRPr="006F1EE1">
              <w:rPr>
                <w:sz w:val="18"/>
                <w:szCs w:val="18"/>
              </w:rPr>
              <w:t xml:space="preserve"> is so far not planning to roll out GeneXpert EID as part of its national EID strategy</w:t>
            </w:r>
            <w:r w:rsidR="00EA5D03">
              <w:rPr>
                <w:sz w:val="18"/>
                <w:szCs w:val="18"/>
              </w:rPr>
              <w:t xml:space="preserve"> despite </w:t>
            </w:r>
            <w:r w:rsidR="00EA42EF">
              <w:rPr>
                <w:sz w:val="18"/>
                <w:szCs w:val="18"/>
              </w:rPr>
              <w:t>MSF study validating use</w:t>
            </w:r>
            <w:r w:rsidR="00EA5D03">
              <w:rPr>
                <w:sz w:val="18"/>
                <w:szCs w:val="18"/>
              </w:rPr>
              <w:t xml:space="preserve"> for EID</w:t>
            </w:r>
            <w:r w:rsidRPr="006F1EE1">
              <w:rPr>
                <w:sz w:val="18"/>
                <w:szCs w:val="18"/>
              </w:rPr>
              <w:t xml:space="preserve">. </w:t>
            </w:r>
          </w:p>
          <w:p w14:paraId="4A4C3C96" w14:textId="59391BF3"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There is limited clarity about future </w:t>
            </w:r>
            <w:r w:rsidR="00B61C4F">
              <w:rPr>
                <w:sz w:val="18"/>
                <w:szCs w:val="18"/>
              </w:rPr>
              <w:t>MOH</w:t>
            </w:r>
            <w:r w:rsidRPr="006F1EE1">
              <w:rPr>
                <w:sz w:val="18"/>
                <w:szCs w:val="18"/>
              </w:rPr>
              <w:t xml:space="preserve"> funding sources for EID and VL but these will likely include PEPFAR and the GF.</w:t>
            </w:r>
          </w:p>
          <w:p w14:paraId="69BD275F" w14:textId="28F96A61"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MSF is supporting maintenance, procurement of commodities (especially cartridges) both for targeted VL and EID and contributes to some of the VL-related </w:t>
            </w:r>
            <w:r w:rsidR="00B61C4F">
              <w:rPr>
                <w:sz w:val="18"/>
                <w:szCs w:val="18"/>
              </w:rPr>
              <w:t>MOH</w:t>
            </w:r>
            <w:r w:rsidRPr="006F1EE1">
              <w:rPr>
                <w:sz w:val="18"/>
                <w:szCs w:val="18"/>
              </w:rPr>
              <w:t xml:space="preserve"> staff costs. MSF supports the supervision of laboratory activities and an MSF advocacy officer is part of the GF oversight committee. A </w:t>
            </w:r>
            <w:r w:rsidR="003C6684">
              <w:rPr>
                <w:sz w:val="18"/>
                <w:szCs w:val="18"/>
              </w:rPr>
              <w:t>hand-over</w:t>
            </w:r>
            <w:r w:rsidRPr="006F1EE1">
              <w:rPr>
                <w:sz w:val="18"/>
                <w:szCs w:val="18"/>
              </w:rPr>
              <w:t xml:space="preserve"> of the remaining MSF activities to the </w:t>
            </w:r>
            <w:r w:rsidR="00B61C4F">
              <w:rPr>
                <w:sz w:val="18"/>
                <w:szCs w:val="18"/>
              </w:rPr>
              <w:t>MOH</w:t>
            </w:r>
            <w:r w:rsidRPr="006F1EE1">
              <w:rPr>
                <w:sz w:val="18"/>
                <w:szCs w:val="18"/>
              </w:rPr>
              <w:t xml:space="preserve"> or other partners is not currently planned.</w:t>
            </w:r>
          </w:p>
          <w:p w14:paraId="189C6266"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MSF hopes to be allowed to pilot roll out of GeneXpert EID routine testing in its intervention zone (with MSF funding).</w:t>
            </w:r>
          </w:p>
          <w:p w14:paraId="42779256"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MSF teams are in contact with EGPAF (which supports PMTCT in Ndhiwa) to avoid duplication of services.</w:t>
            </w:r>
          </w:p>
        </w:tc>
      </w:tr>
      <w:tr w:rsidR="00D97E3B" w:rsidRPr="009E3E34" w14:paraId="13DA7221" w14:textId="77777777" w:rsidTr="00873066">
        <w:tc>
          <w:tcPr>
            <w:tcW w:w="761" w:type="pct"/>
          </w:tcPr>
          <w:p w14:paraId="27ECFBC8" w14:textId="77777777" w:rsidR="00D97E3B" w:rsidRPr="006F1EE1" w:rsidRDefault="00D97E3B" w:rsidP="00873066">
            <w:pPr>
              <w:spacing w:before="60" w:after="60"/>
              <w:jc w:val="left"/>
              <w:rPr>
                <w:sz w:val="18"/>
                <w:szCs w:val="18"/>
              </w:rPr>
            </w:pPr>
            <w:r w:rsidRPr="006F1EE1">
              <w:rPr>
                <w:sz w:val="18"/>
                <w:szCs w:val="18"/>
              </w:rPr>
              <w:t>Lesotho OCB</w:t>
            </w:r>
          </w:p>
        </w:tc>
        <w:tc>
          <w:tcPr>
            <w:tcW w:w="1981" w:type="pct"/>
          </w:tcPr>
          <w:p w14:paraId="4983E0E7"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During 2015 MSF handed over VL activities in 9 health facilities in the Roma region of Maseru to EGPAF.</w:t>
            </w:r>
          </w:p>
          <w:p w14:paraId="6357DD73" w14:textId="6E85291B" w:rsidR="00D97E3B" w:rsidRPr="006F1EE1" w:rsidRDefault="00D97E3B" w:rsidP="00D97E3B">
            <w:pPr>
              <w:numPr>
                <w:ilvl w:val="0"/>
                <w:numId w:val="1"/>
              </w:numPr>
              <w:spacing w:before="60" w:after="60"/>
              <w:ind w:left="170" w:hanging="170"/>
              <w:rPr>
                <w:sz w:val="18"/>
                <w:szCs w:val="18"/>
              </w:rPr>
            </w:pPr>
            <w:r w:rsidRPr="006F1EE1">
              <w:rPr>
                <w:sz w:val="18"/>
                <w:szCs w:val="18"/>
              </w:rPr>
              <w:t>MSF did not receive government permission to open a new project in the neighbo</w:t>
            </w:r>
            <w:r w:rsidR="0050235B">
              <w:rPr>
                <w:sz w:val="18"/>
                <w:szCs w:val="18"/>
              </w:rPr>
              <w:t>u</w:t>
            </w:r>
            <w:r w:rsidRPr="006F1EE1">
              <w:rPr>
                <w:sz w:val="18"/>
                <w:szCs w:val="18"/>
              </w:rPr>
              <w:t>ring district during the grant period and therefore closed all operations in Lesotho.</w:t>
            </w:r>
          </w:p>
        </w:tc>
        <w:tc>
          <w:tcPr>
            <w:tcW w:w="2258" w:type="pct"/>
            <w:shd w:val="clear" w:color="auto" w:fill="FFC000"/>
          </w:tcPr>
          <w:p w14:paraId="3CD77552" w14:textId="0372E648"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Given the lack of </w:t>
            </w:r>
            <w:r w:rsidR="00B61C4F">
              <w:rPr>
                <w:sz w:val="18"/>
                <w:szCs w:val="18"/>
              </w:rPr>
              <w:t>MOH</w:t>
            </w:r>
            <w:r w:rsidRPr="006F1EE1">
              <w:rPr>
                <w:sz w:val="18"/>
                <w:szCs w:val="18"/>
              </w:rPr>
              <w:t xml:space="preserve"> HR and technical capacity for routine VL, MSF supported EGPAF in processing about 2,800 VL DBS samples with </w:t>
            </w:r>
            <w:r w:rsidR="00B55E9C">
              <w:rPr>
                <w:sz w:val="18"/>
                <w:szCs w:val="18"/>
              </w:rPr>
              <w:t>Unitaid</w:t>
            </w:r>
            <w:r w:rsidRPr="006F1EE1">
              <w:rPr>
                <w:sz w:val="18"/>
                <w:szCs w:val="18"/>
              </w:rPr>
              <w:t xml:space="preserve"> funding in 2016 after </w:t>
            </w:r>
            <w:r w:rsidR="003C6684">
              <w:rPr>
                <w:sz w:val="18"/>
                <w:szCs w:val="18"/>
              </w:rPr>
              <w:t>hand-over</w:t>
            </w:r>
            <w:r w:rsidRPr="006F1EE1">
              <w:rPr>
                <w:sz w:val="18"/>
                <w:szCs w:val="18"/>
              </w:rPr>
              <w:t>.</w:t>
            </w:r>
          </w:p>
          <w:p w14:paraId="30BC9DE3" w14:textId="1EA4583D"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The </w:t>
            </w:r>
            <w:r w:rsidR="00B61C4F">
              <w:rPr>
                <w:sz w:val="18"/>
                <w:szCs w:val="18"/>
              </w:rPr>
              <w:t>MOH</w:t>
            </w:r>
            <w:r w:rsidRPr="006F1EE1">
              <w:rPr>
                <w:sz w:val="18"/>
                <w:szCs w:val="18"/>
              </w:rPr>
              <w:t xml:space="preserve"> is adopting a centralised VL system.</w:t>
            </w:r>
          </w:p>
          <w:p w14:paraId="4F01D1CD" w14:textId="205812C5"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With regard to CD4 testing, MSF donated 11 PIMA devices to the </w:t>
            </w:r>
            <w:r w:rsidR="00B61C4F">
              <w:rPr>
                <w:sz w:val="18"/>
                <w:szCs w:val="18"/>
              </w:rPr>
              <w:t>MOH</w:t>
            </w:r>
            <w:r w:rsidRPr="006F1EE1">
              <w:rPr>
                <w:sz w:val="18"/>
                <w:szCs w:val="18"/>
              </w:rPr>
              <w:t xml:space="preserve"> in 2015, as these were to be used by the </w:t>
            </w:r>
            <w:r w:rsidR="00B61C4F">
              <w:rPr>
                <w:sz w:val="18"/>
                <w:szCs w:val="18"/>
              </w:rPr>
              <w:t>MOH</w:t>
            </w:r>
            <w:r w:rsidRPr="006F1EE1">
              <w:rPr>
                <w:sz w:val="18"/>
                <w:szCs w:val="18"/>
              </w:rPr>
              <w:t xml:space="preserve"> in areas where VL was not available and provided the </w:t>
            </w:r>
            <w:r w:rsidR="00B61C4F">
              <w:rPr>
                <w:sz w:val="18"/>
                <w:szCs w:val="18"/>
              </w:rPr>
              <w:t>MOH</w:t>
            </w:r>
            <w:r w:rsidRPr="006F1EE1">
              <w:rPr>
                <w:sz w:val="18"/>
                <w:szCs w:val="18"/>
              </w:rPr>
              <w:t xml:space="preserve"> with a buffer stock of PIMA cartridges.</w:t>
            </w:r>
          </w:p>
        </w:tc>
      </w:tr>
      <w:tr w:rsidR="00D97E3B" w:rsidRPr="009E3E34" w14:paraId="69E65BDF" w14:textId="77777777" w:rsidTr="00894BCA">
        <w:tc>
          <w:tcPr>
            <w:tcW w:w="761" w:type="pct"/>
          </w:tcPr>
          <w:p w14:paraId="3E59087F" w14:textId="77777777" w:rsidR="00D97E3B" w:rsidRPr="006F1EE1" w:rsidRDefault="00D97E3B" w:rsidP="00873066">
            <w:pPr>
              <w:spacing w:before="60" w:after="60"/>
              <w:jc w:val="left"/>
              <w:rPr>
                <w:sz w:val="18"/>
                <w:szCs w:val="18"/>
              </w:rPr>
            </w:pPr>
            <w:r w:rsidRPr="006F1EE1">
              <w:rPr>
                <w:sz w:val="18"/>
                <w:szCs w:val="18"/>
              </w:rPr>
              <w:t>Malawi OCB, Thyolo</w:t>
            </w:r>
          </w:p>
        </w:tc>
        <w:tc>
          <w:tcPr>
            <w:tcW w:w="1981" w:type="pct"/>
          </w:tcPr>
          <w:p w14:paraId="78A7C5ED" w14:textId="1B03DA48" w:rsidR="00D97E3B" w:rsidRPr="006F1EE1" w:rsidRDefault="00D97E3B" w:rsidP="00D97E3B">
            <w:pPr>
              <w:numPr>
                <w:ilvl w:val="0"/>
                <w:numId w:val="1"/>
              </w:numPr>
              <w:spacing w:before="60" w:after="60"/>
              <w:ind w:left="170" w:hanging="170"/>
              <w:rPr>
                <w:sz w:val="18"/>
                <w:szCs w:val="18"/>
              </w:rPr>
            </w:pPr>
            <w:r w:rsidRPr="006F1EE1">
              <w:rPr>
                <w:sz w:val="18"/>
                <w:szCs w:val="18"/>
              </w:rPr>
              <w:t>MSF-B created Technical Working Groups in Thyolo and Nsanje (called ‘</w:t>
            </w:r>
            <w:r w:rsidR="00EA5AB6">
              <w:rPr>
                <w:sz w:val="18"/>
                <w:szCs w:val="18"/>
              </w:rPr>
              <w:t>Second-line committee</w:t>
            </w:r>
            <w:r w:rsidRPr="006F1EE1">
              <w:rPr>
                <w:sz w:val="18"/>
                <w:szCs w:val="18"/>
              </w:rPr>
              <w:t>s’), which helped with (i) programmatic decisions on VL and (ii) reporting practices.</w:t>
            </w:r>
          </w:p>
        </w:tc>
        <w:tc>
          <w:tcPr>
            <w:tcW w:w="2258" w:type="pct"/>
            <w:shd w:val="clear" w:color="auto" w:fill="E9F5DB" w:themeFill="accent3" w:themeFillTint="33"/>
          </w:tcPr>
          <w:p w14:paraId="5761147A" w14:textId="3B6B4181"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The MSF-B Abbott platform was handed over to the </w:t>
            </w:r>
            <w:r w:rsidR="00B61C4F">
              <w:rPr>
                <w:sz w:val="18"/>
                <w:szCs w:val="18"/>
              </w:rPr>
              <w:t>MOH</w:t>
            </w:r>
            <w:r w:rsidRPr="006F1EE1">
              <w:rPr>
                <w:sz w:val="18"/>
                <w:szCs w:val="18"/>
              </w:rPr>
              <w:t xml:space="preserve"> (note that this was the Abbott platform installed in 2015 to align with the </w:t>
            </w:r>
            <w:r w:rsidR="00B61C4F">
              <w:rPr>
                <w:sz w:val="18"/>
                <w:szCs w:val="18"/>
              </w:rPr>
              <w:t>MOH</w:t>
            </w:r>
            <w:r w:rsidRPr="006F1EE1">
              <w:rPr>
                <w:sz w:val="18"/>
                <w:szCs w:val="18"/>
              </w:rPr>
              <w:t xml:space="preserve"> strategy); while the </w:t>
            </w:r>
            <w:r w:rsidR="007B10C8">
              <w:rPr>
                <w:sz w:val="18"/>
                <w:szCs w:val="18"/>
              </w:rPr>
              <w:t>BM</w:t>
            </w:r>
            <w:r w:rsidRPr="006F1EE1">
              <w:rPr>
                <w:sz w:val="18"/>
                <w:szCs w:val="18"/>
              </w:rPr>
              <w:t xml:space="preserve"> platform was transferred to Zimbabwe.</w:t>
            </w:r>
          </w:p>
          <w:p w14:paraId="425B5E11"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Overall, Malawi’s HIV treatment performance is good, with 90% viral suppression among adults on ART reported in the End of Project report.</w:t>
            </w:r>
          </w:p>
          <w:p w14:paraId="46349289" w14:textId="36FAA9A1"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Reduction of MSF support to VL monitoring has led to some declines in the operation of the service. For example, in Nsanje, samples are now sent to the central </w:t>
            </w:r>
            <w:r w:rsidR="00B61C4F">
              <w:rPr>
                <w:sz w:val="18"/>
                <w:szCs w:val="18"/>
              </w:rPr>
              <w:t>MOH</w:t>
            </w:r>
            <w:r w:rsidRPr="006F1EE1">
              <w:rPr>
                <w:sz w:val="18"/>
                <w:szCs w:val="18"/>
              </w:rPr>
              <w:t xml:space="preserve"> laboratory in Blantyre (where previously they relied on the Thyolo VL lab). There has been a need for MSF to step in again to (i) provide support to the lab with staff and (ii) process some samples in South Africa. This was due to capacity problems and long </w:t>
            </w:r>
            <w:r w:rsidR="004D0E48">
              <w:rPr>
                <w:sz w:val="18"/>
                <w:szCs w:val="18"/>
              </w:rPr>
              <w:t>TAT</w:t>
            </w:r>
            <w:r w:rsidRPr="006F1EE1">
              <w:rPr>
                <w:sz w:val="18"/>
                <w:szCs w:val="18"/>
              </w:rPr>
              <w:t xml:space="preserve">s from the central </w:t>
            </w:r>
            <w:r w:rsidR="00B61C4F">
              <w:rPr>
                <w:sz w:val="18"/>
                <w:szCs w:val="18"/>
              </w:rPr>
              <w:t>MOH</w:t>
            </w:r>
            <w:r w:rsidRPr="006F1EE1">
              <w:rPr>
                <w:sz w:val="18"/>
                <w:szCs w:val="18"/>
              </w:rPr>
              <w:t xml:space="preserve"> laboratory in Blantyre.</w:t>
            </w:r>
          </w:p>
        </w:tc>
      </w:tr>
      <w:tr w:rsidR="00D97E3B" w:rsidRPr="009E3E34" w14:paraId="58FEB3B7" w14:textId="77777777" w:rsidTr="00873066">
        <w:tc>
          <w:tcPr>
            <w:tcW w:w="761" w:type="pct"/>
          </w:tcPr>
          <w:p w14:paraId="455F6C81" w14:textId="77777777" w:rsidR="00D97E3B" w:rsidRPr="006F1EE1" w:rsidRDefault="00D97E3B" w:rsidP="00873066">
            <w:pPr>
              <w:spacing w:before="60" w:after="60"/>
              <w:jc w:val="left"/>
              <w:rPr>
                <w:sz w:val="18"/>
                <w:szCs w:val="18"/>
              </w:rPr>
            </w:pPr>
            <w:r w:rsidRPr="006F1EE1">
              <w:rPr>
                <w:sz w:val="18"/>
                <w:szCs w:val="18"/>
              </w:rPr>
              <w:t>Malawi OCP, Chiradzulu</w:t>
            </w:r>
          </w:p>
        </w:tc>
        <w:tc>
          <w:tcPr>
            <w:tcW w:w="1981" w:type="pct"/>
          </w:tcPr>
          <w:p w14:paraId="78D25951" w14:textId="494A5344"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MSF demonstrated the benefits of the POC VL through the SAMBA platform, in terms of patient management, efficiency and </w:t>
            </w:r>
            <w:r w:rsidR="004D0E48">
              <w:rPr>
                <w:sz w:val="18"/>
                <w:szCs w:val="18"/>
              </w:rPr>
              <w:t>TAT</w:t>
            </w:r>
            <w:r w:rsidRPr="006F1EE1">
              <w:rPr>
                <w:sz w:val="18"/>
                <w:szCs w:val="18"/>
              </w:rPr>
              <w:t>. It conducted a task-shifting study which demonstrated that accurate results could be obtained when the SAMBA was used by trained community workers and lab technicians.</w:t>
            </w:r>
          </w:p>
          <w:p w14:paraId="38B96B11" w14:textId="34B59DA5"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MSF has prepared for </w:t>
            </w:r>
            <w:r w:rsidR="003C6684">
              <w:rPr>
                <w:sz w:val="18"/>
                <w:szCs w:val="18"/>
              </w:rPr>
              <w:t>hand-over</w:t>
            </w:r>
            <w:r w:rsidRPr="006F1EE1">
              <w:rPr>
                <w:sz w:val="18"/>
                <w:szCs w:val="18"/>
              </w:rPr>
              <w:t xml:space="preserve"> by strengthening the capacity of the MOH in terms of </w:t>
            </w:r>
            <w:r w:rsidR="00BC6B8E">
              <w:rPr>
                <w:sz w:val="18"/>
                <w:szCs w:val="18"/>
              </w:rPr>
              <w:t>DBS</w:t>
            </w:r>
            <w:r w:rsidRPr="006F1EE1">
              <w:rPr>
                <w:sz w:val="18"/>
                <w:szCs w:val="18"/>
              </w:rPr>
              <w:t xml:space="preserve"> </w:t>
            </w:r>
            <w:r w:rsidR="007B10C8">
              <w:rPr>
                <w:sz w:val="18"/>
                <w:szCs w:val="18"/>
              </w:rPr>
              <w:t>VL</w:t>
            </w:r>
            <w:r w:rsidRPr="006F1EE1">
              <w:rPr>
                <w:sz w:val="18"/>
                <w:szCs w:val="18"/>
              </w:rPr>
              <w:t>, including:</w:t>
            </w:r>
          </w:p>
          <w:p w14:paraId="3C4D41B8" w14:textId="77777777" w:rsidR="00D97E3B" w:rsidRPr="006F1EE1" w:rsidRDefault="00D97E3B" w:rsidP="00873066">
            <w:pPr>
              <w:numPr>
                <w:ilvl w:val="1"/>
                <w:numId w:val="0"/>
              </w:numPr>
              <w:spacing w:before="60" w:after="60"/>
              <w:ind w:left="454" w:hanging="170"/>
              <w:rPr>
                <w:sz w:val="18"/>
                <w:szCs w:val="18"/>
              </w:rPr>
            </w:pPr>
            <w:r w:rsidRPr="006F1EE1">
              <w:rPr>
                <w:sz w:val="18"/>
                <w:szCs w:val="18"/>
              </w:rPr>
              <w:t>(i) The development of a VL ‘alert and tracking’ system; and</w:t>
            </w:r>
          </w:p>
          <w:p w14:paraId="7ADF01D0" w14:textId="77777777" w:rsidR="00D97E3B" w:rsidRPr="006F1EE1" w:rsidRDefault="00D97E3B" w:rsidP="00873066">
            <w:pPr>
              <w:numPr>
                <w:ilvl w:val="1"/>
                <w:numId w:val="0"/>
              </w:numPr>
              <w:spacing w:before="60" w:after="60"/>
              <w:ind w:left="454" w:hanging="170"/>
              <w:rPr>
                <w:sz w:val="18"/>
                <w:szCs w:val="18"/>
              </w:rPr>
            </w:pPr>
            <w:r w:rsidRPr="006F1EE1">
              <w:rPr>
                <w:sz w:val="18"/>
                <w:szCs w:val="18"/>
              </w:rPr>
              <w:t>(ii) Training for MOH staff on the management of DBS samples and results.</w:t>
            </w:r>
          </w:p>
        </w:tc>
        <w:tc>
          <w:tcPr>
            <w:tcW w:w="2258" w:type="pct"/>
            <w:shd w:val="clear" w:color="auto" w:fill="FFC000"/>
          </w:tcPr>
          <w:p w14:paraId="58557DD3" w14:textId="3DF5FCDE" w:rsidR="00D97E3B" w:rsidRPr="006F1EE1" w:rsidRDefault="00436A54" w:rsidP="00D97E3B">
            <w:pPr>
              <w:numPr>
                <w:ilvl w:val="0"/>
                <w:numId w:val="1"/>
              </w:numPr>
              <w:spacing w:before="60" w:after="60"/>
              <w:ind w:left="170" w:hanging="170"/>
              <w:rPr>
                <w:sz w:val="18"/>
                <w:szCs w:val="18"/>
              </w:rPr>
            </w:pPr>
            <w:r>
              <w:rPr>
                <w:sz w:val="18"/>
                <w:szCs w:val="18"/>
              </w:rPr>
              <w:t>OC</w:t>
            </w:r>
            <w:r w:rsidR="00D97E3B" w:rsidRPr="006F1EE1">
              <w:rPr>
                <w:sz w:val="18"/>
                <w:szCs w:val="18"/>
              </w:rPr>
              <w:t xml:space="preserve">P will operate three POC VL ‘hubs’ (using the SAMBA platform) that offer targeted VL with a focus on vulnerable populations (children, adolescents, patients on second or third line regimen). This support will be funded by MSF. </w:t>
            </w:r>
          </w:p>
          <w:p w14:paraId="62C8EBD4" w14:textId="6220894A" w:rsidR="00D97E3B" w:rsidRPr="006F1EE1" w:rsidRDefault="00436A54" w:rsidP="00D97E3B">
            <w:pPr>
              <w:numPr>
                <w:ilvl w:val="0"/>
                <w:numId w:val="1"/>
              </w:numPr>
              <w:spacing w:before="60" w:after="60"/>
              <w:ind w:left="170" w:hanging="170"/>
              <w:rPr>
                <w:sz w:val="18"/>
                <w:szCs w:val="18"/>
              </w:rPr>
            </w:pPr>
            <w:r>
              <w:rPr>
                <w:sz w:val="18"/>
                <w:szCs w:val="18"/>
              </w:rPr>
              <w:t>OC</w:t>
            </w:r>
            <w:r w:rsidR="00D97E3B" w:rsidRPr="006F1EE1">
              <w:rPr>
                <w:sz w:val="18"/>
                <w:szCs w:val="18"/>
              </w:rPr>
              <w:t>P have exerted some policy impact with regard to the benefits of POC VL testing, with inclusion of POC in the</w:t>
            </w:r>
            <w:r w:rsidR="00D97E3B" w:rsidRPr="006F1EE1" w:rsidDel="00436A54">
              <w:rPr>
                <w:sz w:val="18"/>
                <w:szCs w:val="18"/>
              </w:rPr>
              <w:t xml:space="preserve"> </w:t>
            </w:r>
            <w:r w:rsidR="00D97E3B" w:rsidRPr="006F1EE1">
              <w:rPr>
                <w:sz w:val="18"/>
                <w:szCs w:val="18"/>
              </w:rPr>
              <w:t xml:space="preserve">Malawi scale-up strategy and some ‘signs’ that </w:t>
            </w:r>
            <w:r w:rsidR="00B61C4F">
              <w:rPr>
                <w:sz w:val="18"/>
                <w:szCs w:val="18"/>
              </w:rPr>
              <w:t>MOH</w:t>
            </w:r>
            <w:r w:rsidR="00D97E3B" w:rsidRPr="006F1EE1">
              <w:rPr>
                <w:sz w:val="18"/>
                <w:szCs w:val="18"/>
              </w:rPr>
              <w:t xml:space="preserve"> will adopt the GeneXpert POC technology. This being noted, Malawi is prioritising centralised DBS VL on the Abbott platform, due to cost.</w:t>
            </w:r>
          </w:p>
          <w:p w14:paraId="510C1E99"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Recognising that Malawi has phased out routine CD4 testing, MSF has kept CD4 machines at its disposal for research purposes and targeted CD4 tests.</w:t>
            </w:r>
          </w:p>
        </w:tc>
      </w:tr>
      <w:tr w:rsidR="00D97E3B" w:rsidRPr="009E3E34" w14:paraId="035AFD1C" w14:textId="77777777" w:rsidTr="00894BCA">
        <w:tc>
          <w:tcPr>
            <w:tcW w:w="761" w:type="pct"/>
          </w:tcPr>
          <w:p w14:paraId="3E414F0B" w14:textId="77777777" w:rsidR="00D97E3B" w:rsidRPr="006F1EE1" w:rsidRDefault="00D97E3B" w:rsidP="00873066">
            <w:pPr>
              <w:spacing w:before="60" w:after="60"/>
              <w:jc w:val="left"/>
              <w:rPr>
                <w:sz w:val="18"/>
                <w:szCs w:val="18"/>
              </w:rPr>
            </w:pPr>
            <w:r w:rsidRPr="006F1EE1">
              <w:rPr>
                <w:sz w:val="18"/>
                <w:szCs w:val="18"/>
              </w:rPr>
              <w:t>Mozambique OCB and OCG</w:t>
            </w:r>
          </w:p>
        </w:tc>
        <w:tc>
          <w:tcPr>
            <w:tcW w:w="1981" w:type="pct"/>
          </w:tcPr>
          <w:p w14:paraId="6A82317C" w14:textId="20656C0A"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MSF’s routine and targeted VL services were fully aligned with the </w:t>
            </w:r>
            <w:r w:rsidR="00B61C4F">
              <w:rPr>
                <w:sz w:val="18"/>
                <w:szCs w:val="18"/>
              </w:rPr>
              <w:t>MOH</w:t>
            </w:r>
            <w:r w:rsidRPr="006F1EE1">
              <w:rPr>
                <w:sz w:val="18"/>
                <w:szCs w:val="18"/>
              </w:rPr>
              <w:t>’s diagnostic and treatment guidelines.</w:t>
            </w:r>
          </w:p>
          <w:p w14:paraId="1FB14FBF" w14:textId="1D2E4CE8"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MSF successfully advocated for the implementation of one </w:t>
            </w:r>
            <w:r w:rsidR="00B61C4F">
              <w:rPr>
                <w:sz w:val="18"/>
                <w:szCs w:val="18"/>
              </w:rPr>
              <w:t>MOH</w:t>
            </w:r>
            <w:r w:rsidRPr="006F1EE1">
              <w:rPr>
                <w:sz w:val="18"/>
                <w:szCs w:val="18"/>
              </w:rPr>
              <w:t xml:space="preserve"> M&amp;E system, with the </w:t>
            </w:r>
            <w:r w:rsidR="00B61C4F">
              <w:rPr>
                <w:sz w:val="18"/>
                <w:szCs w:val="18"/>
              </w:rPr>
              <w:t>MOH</w:t>
            </w:r>
            <w:r w:rsidRPr="006F1EE1">
              <w:rPr>
                <w:sz w:val="18"/>
                <w:szCs w:val="18"/>
              </w:rPr>
              <w:t xml:space="preserve"> implementing DISA since 2016.</w:t>
            </w:r>
          </w:p>
          <w:p w14:paraId="704D02DD" w14:textId="7CFA46A0"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Collaboration between MSF, </w:t>
            </w:r>
            <w:r w:rsidR="00B61C4F">
              <w:rPr>
                <w:sz w:val="18"/>
                <w:szCs w:val="18"/>
              </w:rPr>
              <w:t>MOH</w:t>
            </w:r>
            <w:r w:rsidRPr="006F1EE1">
              <w:rPr>
                <w:sz w:val="18"/>
                <w:szCs w:val="18"/>
              </w:rPr>
              <w:t xml:space="preserve"> and a local cement factor to develop a solution for waste disposal and a suitable national policy.</w:t>
            </w:r>
          </w:p>
        </w:tc>
        <w:tc>
          <w:tcPr>
            <w:tcW w:w="2258" w:type="pct"/>
            <w:shd w:val="clear" w:color="auto" w:fill="E9F5DB" w:themeFill="accent3" w:themeFillTint="33"/>
          </w:tcPr>
          <w:p w14:paraId="5573C621" w14:textId="1F5AA343" w:rsidR="00D97E3B" w:rsidRPr="006F1EE1" w:rsidRDefault="00B61C4F" w:rsidP="00D97E3B">
            <w:pPr>
              <w:numPr>
                <w:ilvl w:val="0"/>
                <w:numId w:val="1"/>
              </w:numPr>
              <w:spacing w:before="60" w:after="60"/>
              <w:ind w:left="170" w:hanging="170"/>
              <w:rPr>
                <w:sz w:val="18"/>
                <w:szCs w:val="18"/>
              </w:rPr>
            </w:pPr>
            <w:r>
              <w:rPr>
                <w:sz w:val="18"/>
                <w:szCs w:val="18"/>
              </w:rPr>
              <w:t>MOH</w:t>
            </w:r>
            <w:r w:rsidR="00D97E3B" w:rsidRPr="006F1EE1">
              <w:rPr>
                <w:sz w:val="18"/>
                <w:szCs w:val="18"/>
              </w:rPr>
              <w:t xml:space="preserve"> </w:t>
            </w:r>
            <w:r w:rsidR="003C6684">
              <w:rPr>
                <w:sz w:val="18"/>
                <w:szCs w:val="18"/>
              </w:rPr>
              <w:t>hand-over</w:t>
            </w:r>
            <w:r w:rsidR="00D97E3B" w:rsidRPr="006F1EE1">
              <w:rPr>
                <w:sz w:val="18"/>
                <w:szCs w:val="18"/>
              </w:rPr>
              <w:t xml:space="preserve"> occurred in spring 2017, with a donation of the </w:t>
            </w:r>
            <w:r w:rsidR="00B55E9C">
              <w:rPr>
                <w:sz w:val="18"/>
                <w:szCs w:val="18"/>
              </w:rPr>
              <w:t>Unitaid</w:t>
            </w:r>
            <w:r w:rsidR="00D97E3B" w:rsidRPr="006F1EE1">
              <w:rPr>
                <w:sz w:val="18"/>
                <w:szCs w:val="18"/>
              </w:rPr>
              <w:t xml:space="preserve">-funded </w:t>
            </w:r>
            <w:r w:rsidR="007B10C8">
              <w:rPr>
                <w:sz w:val="18"/>
                <w:szCs w:val="18"/>
              </w:rPr>
              <w:t>BM</w:t>
            </w:r>
            <w:r w:rsidR="00D97E3B" w:rsidRPr="006F1EE1">
              <w:rPr>
                <w:sz w:val="18"/>
                <w:szCs w:val="18"/>
              </w:rPr>
              <w:t xml:space="preserve"> and Abbott platforms from MSF to the </w:t>
            </w:r>
            <w:r>
              <w:rPr>
                <w:sz w:val="18"/>
                <w:szCs w:val="18"/>
              </w:rPr>
              <w:t>MOH</w:t>
            </w:r>
            <w:r w:rsidR="00D97E3B" w:rsidRPr="006F1EE1">
              <w:rPr>
                <w:sz w:val="18"/>
                <w:szCs w:val="18"/>
              </w:rPr>
              <w:t xml:space="preserve">. </w:t>
            </w:r>
          </w:p>
          <w:p w14:paraId="5584C4EA" w14:textId="68E39252"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In Chamanculo, partial </w:t>
            </w:r>
            <w:r w:rsidR="003C6684">
              <w:rPr>
                <w:sz w:val="18"/>
                <w:szCs w:val="18"/>
              </w:rPr>
              <w:t>hand-over</w:t>
            </w:r>
            <w:r w:rsidRPr="006F1EE1">
              <w:rPr>
                <w:sz w:val="18"/>
                <w:szCs w:val="18"/>
              </w:rPr>
              <w:t xml:space="preserve"> of VL activities in five health facilities occurred in 2016, with continued MSF support.</w:t>
            </w:r>
          </w:p>
          <w:p w14:paraId="6183388C" w14:textId="7AF4A574"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Overall, VL coverage is low as is viral suppression and only a small percentage of patients with virological failure switch to second line and do so with long </w:t>
            </w:r>
            <w:r w:rsidR="004D0E48">
              <w:rPr>
                <w:sz w:val="18"/>
                <w:szCs w:val="18"/>
              </w:rPr>
              <w:t>TAT</w:t>
            </w:r>
            <w:r w:rsidRPr="006F1EE1">
              <w:rPr>
                <w:sz w:val="18"/>
                <w:szCs w:val="18"/>
              </w:rPr>
              <w:t xml:space="preserve">s. </w:t>
            </w:r>
          </w:p>
          <w:p w14:paraId="021D3026"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73% and 60% of patients have a VL below 1,000 copies/ml in Maputo and Tete respectively (data from 2015).</w:t>
            </w:r>
          </w:p>
          <w:p w14:paraId="34CCDAC0" w14:textId="167C4542"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MOH has incorporated </w:t>
            </w:r>
            <w:r w:rsidR="007B10C8">
              <w:rPr>
                <w:sz w:val="18"/>
                <w:szCs w:val="18"/>
              </w:rPr>
              <w:t>BM</w:t>
            </w:r>
            <w:r w:rsidRPr="006F1EE1">
              <w:rPr>
                <w:sz w:val="18"/>
                <w:szCs w:val="18"/>
              </w:rPr>
              <w:t xml:space="preserve"> into its VL rollout plans.</w:t>
            </w:r>
          </w:p>
          <w:p w14:paraId="31F0D364" w14:textId="31EF1165"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Procurement of reagents for the </w:t>
            </w:r>
            <w:r w:rsidR="007B10C8">
              <w:rPr>
                <w:sz w:val="18"/>
                <w:szCs w:val="18"/>
              </w:rPr>
              <w:t>BM</w:t>
            </w:r>
            <w:r w:rsidRPr="006F1EE1">
              <w:rPr>
                <w:sz w:val="18"/>
                <w:szCs w:val="18"/>
              </w:rPr>
              <w:t xml:space="preserve"> and Abbott machines to be covered by PEPFAR, and supply integrated into the MOH procurement system.</w:t>
            </w:r>
          </w:p>
          <w:p w14:paraId="7EEA736C"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In Chamanculo, MSF continues to provide support in terms of HR (data clerks and a lab supervisor) and logistics (platform maintenance) until summer 2017 (using MSF funds). </w:t>
            </w:r>
          </w:p>
        </w:tc>
      </w:tr>
      <w:tr w:rsidR="00D97E3B" w:rsidRPr="009E3E34" w14:paraId="7A56E6ED" w14:textId="77777777" w:rsidTr="00894BCA">
        <w:tc>
          <w:tcPr>
            <w:tcW w:w="761" w:type="pct"/>
          </w:tcPr>
          <w:p w14:paraId="54ACCCD9" w14:textId="77777777" w:rsidR="00D97E3B" w:rsidRPr="006F1EE1" w:rsidRDefault="00D97E3B" w:rsidP="00873066">
            <w:pPr>
              <w:spacing w:before="60" w:after="60"/>
              <w:jc w:val="left"/>
              <w:rPr>
                <w:sz w:val="18"/>
                <w:szCs w:val="18"/>
              </w:rPr>
            </w:pPr>
            <w:r w:rsidRPr="006F1EE1">
              <w:rPr>
                <w:sz w:val="18"/>
                <w:szCs w:val="18"/>
              </w:rPr>
              <w:t>South Africa OCB</w:t>
            </w:r>
          </w:p>
        </w:tc>
        <w:tc>
          <w:tcPr>
            <w:tcW w:w="1981" w:type="pct"/>
          </w:tcPr>
          <w:p w14:paraId="043B8B16"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Advocated for the introduction of VL tests at birth for all HIV-exposed babies, which helped to shape new guidelines on the ART initiation of newborns in Western Cape province (released in November 2015).</w:t>
            </w:r>
          </w:p>
          <w:p w14:paraId="7B536DD5" w14:textId="3B7B2017"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MSF conducted a study of POC EID using the Alere Q platform, which demonstrated good </w:t>
            </w:r>
            <w:r w:rsidR="004D0E48">
              <w:rPr>
                <w:sz w:val="18"/>
                <w:szCs w:val="18"/>
              </w:rPr>
              <w:t>TAT</w:t>
            </w:r>
            <w:r w:rsidRPr="006F1EE1">
              <w:rPr>
                <w:sz w:val="18"/>
                <w:szCs w:val="18"/>
              </w:rPr>
              <w:t xml:space="preserve"> and enabling treatment initiation within hours of a positive diagnosis. MSF disseminated the results widely at national and international fora.</w:t>
            </w:r>
          </w:p>
        </w:tc>
        <w:tc>
          <w:tcPr>
            <w:tcW w:w="2258" w:type="pct"/>
            <w:shd w:val="clear" w:color="auto" w:fill="FF7F7F" w:themeFill="accent6" w:themeFillTint="66"/>
          </w:tcPr>
          <w:p w14:paraId="4AA96FFA"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The new ART guidelines in Western Cape province (which were implemented as of April 2016) require a VL test at birth, VL at 10 weeks of age, at 6 weeks post cessation of breast feeding, and rapid tests at 9 months and 18 months of age for all babies.</w:t>
            </w:r>
          </w:p>
          <w:p w14:paraId="61399D5D" w14:textId="5501726E"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Birth VL on Alere Q has been discontinued after the end of the study. This is because Western Cape province has a good, centralized laboratory system with relatively rapid </w:t>
            </w:r>
            <w:r w:rsidR="004D0E48">
              <w:rPr>
                <w:sz w:val="18"/>
                <w:szCs w:val="18"/>
              </w:rPr>
              <w:t>TAT</w:t>
            </w:r>
            <w:r w:rsidRPr="006F1EE1">
              <w:rPr>
                <w:sz w:val="18"/>
                <w:szCs w:val="18"/>
              </w:rPr>
              <w:t>s (2 to 3 days for VL), decent infrastructure and patient follow-up and a very low mother-to-child transmission rate at two months after birth. In this context, the Alere Q was not cost-effective.</w:t>
            </w:r>
          </w:p>
        </w:tc>
      </w:tr>
      <w:tr w:rsidR="00D97E3B" w:rsidRPr="009E3E34" w14:paraId="65FA4D2B" w14:textId="77777777" w:rsidTr="00873066">
        <w:tc>
          <w:tcPr>
            <w:tcW w:w="761" w:type="pct"/>
          </w:tcPr>
          <w:p w14:paraId="72E612BF" w14:textId="77777777" w:rsidR="00D97E3B" w:rsidRPr="006F1EE1" w:rsidRDefault="00D97E3B" w:rsidP="00873066">
            <w:pPr>
              <w:spacing w:before="60" w:after="60"/>
              <w:jc w:val="left"/>
              <w:rPr>
                <w:sz w:val="18"/>
                <w:szCs w:val="18"/>
              </w:rPr>
            </w:pPr>
            <w:r w:rsidRPr="006F1EE1">
              <w:rPr>
                <w:sz w:val="18"/>
                <w:szCs w:val="18"/>
              </w:rPr>
              <w:t>Swaziland OCG</w:t>
            </w:r>
          </w:p>
        </w:tc>
        <w:tc>
          <w:tcPr>
            <w:tcW w:w="1981" w:type="pct"/>
          </w:tcPr>
          <w:p w14:paraId="7F6A24F1"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MSF succeeded in introducing a Biocentric high-throughput platform on regional level, in Shiselweni. This helped to advocate for a somewhat decentralized VL technology landscape in a country where no POC VL technology is so far available.</w:t>
            </w:r>
          </w:p>
          <w:p w14:paraId="26181F9F" w14:textId="338FD1C9"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MSF had supported the </w:t>
            </w:r>
            <w:r w:rsidR="00B61C4F">
              <w:rPr>
                <w:sz w:val="18"/>
                <w:szCs w:val="18"/>
              </w:rPr>
              <w:t>MOH</w:t>
            </w:r>
            <w:r w:rsidRPr="006F1EE1">
              <w:rPr>
                <w:sz w:val="18"/>
                <w:szCs w:val="18"/>
              </w:rPr>
              <w:t xml:space="preserve"> with training central reference laboratory staff in the captial (while the training on the platform itself was done by Biocentric).</w:t>
            </w:r>
          </w:p>
          <w:p w14:paraId="0681EA29" w14:textId="6F42C396"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CD4 POC activities were handed over to the </w:t>
            </w:r>
            <w:r w:rsidR="00B61C4F">
              <w:rPr>
                <w:sz w:val="18"/>
                <w:szCs w:val="18"/>
              </w:rPr>
              <w:t>MOH</w:t>
            </w:r>
            <w:r w:rsidRPr="006F1EE1">
              <w:rPr>
                <w:sz w:val="18"/>
                <w:szCs w:val="18"/>
              </w:rPr>
              <w:t xml:space="preserve"> in 2015 and the PIMA machines have been donated to the </w:t>
            </w:r>
            <w:r w:rsidR="00B61C4F">
              <w:rPr>
                <w:sz w:val="18"/>
                <w:szCs w:val="18"/>
              </w:rPr>
              <w:t>MOH</w:t>
            </w:r>
            <w:r w:rsidRPr="006F1EE1">
              <w:rPr>
                <w:sz w:val="18"/>
                <w:szCs w:val="18"/>
              </w:rPr>
              <w:t xml:space="preserve"> in 2016.</w:t>
            </w:r>
          </w:p>
        </w:tc>
        <w:tc>
          <w:tcPr>
            <w:tcW w:w="2258" w:type="pct"/>
            <w:shd w:val="clear" w:color="auto" w:fill="FFC000"/>
          </w:tcPr>
          <w:p w14:paraId="4100E0BD" w14:textId="6F565344"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The </w:t>
            </w:r>
            <w:r w:rsidR="00B61C4F">
              <w:rPr>
                <w:sz w:val="18"/>
                <w:szCs w:val="18"/>
              </w:rPr>
              <w:t>MOH</w:t>
            </w:r>
            <w:r w:rsidRPr="006F1EE1">
              <w:rPr>
                <w:sz w:val="18"/>
                <w:szCs w:val="18"/>
              </w:rPr>
              <w:t xml:space="preserve"> is committed to rolling out VL as an ART monitoring tool but lacks the funds needed for widespread implementation. Since the government currently focuses its resources on providing an increasing number of tests in its national reference lab, MSF will continue to provide t</w:t>
            </w:r>
            <w:r w:rsidRPr="006F1EE1">
              <w:rPr>
                <w:sz w:val="18"/>
                <w:szCs w:val="18"/>
                <w:shd w:val="clear" w:color="auto" w:fill="F7EDC7"/>
              </w:rPr>
              <w:t>h</w:t>
            </w:r>
            <w:r w:rsidRPr="006F1EE1">
              <w:rPr>
                <w:sz w:val="18"/>
                <w:szCs w:val="18"/>
              </w:rPr>
              <w:t xml:space="preserve">e reagents for the VL machine in Shiselweni during 2017. </w:t>
            </w:r>
          </w:p>
          <w:p w14:paraId="59BA9531" w14:textId="5DC5489E" w:rsidR="00D97E3B" w:rsidRPr="006F1EE1" w:rsidRDefault="00D97E3B" w:rsidP="00D97E3B">
            <w:pPr>
              <w:numPr>
                <w:ilvl w:val="0"/>
                <w:numId w:val="1"/>
              </w:numPr>
              <w:spacing w:before="60" w:after="60"/>
              <w:ind w:left="170" w:hanging="170"/>
              <w:rPr>
                <w:sz w:val="18"/>
                <w:szCs w:val="18"/>
              </w:rPr>
            </w:pPr>
            <w:bookmarkStart w:id="719" w:name="_Hlk500256031"/>
            <w:r w:rsidRPr="006F1EE1">
              <w:rPr>
                <w:sz w:val="18"/>
                <w:szCs w:val="18"/>
              </w:rPr>
              <w:t xml:space="preserve">In 2018, the </w:t>
            </w:r>
            <w:r w:rsidR="00B61C4F">
              <w:rPr>
                <w:sz w:val="18"/>
                <w:szCs w:val="18"/>
              </w:rPr>
              <w:t>MOH</w:t>
            </w:r>
            <w:r w:rsidRPr="006F1EE1">
              <w:rPr>
                <w:sz w:val="18"/>
                <w:szCs w:val="18"/>
              </w:rPr>
              <w:t xml:space="preserve"> plans to take over parts of the reagent-purchases for Shiselweni.</w:t>
            </w:r>
            <w:bookmarkEnd w:id="719"/>
          </w:p>
        </w:tc>
      </w:tr>
      <w:tr w:rsidR="00D97E3B" w:rsidRPr="009E3E34" w14:paraId="6CC8C00C" w14:textId="77777777" w:rsidTr="00873066">
        <w:tc>
          <w:tcPr>
            <w:tcW w:w="761" w:type="pct"/>
          </w:tcPr>
          <w:p w14:paraId="4E6F58B1" w14:textId="77777777" w:rsidR="00D97E3B" w:rsidRPr="006F1EE1" w:rsidRDefault="00D97E3B" w:rsidP="00873066">
            <w:pPr>
              <w:spacing w:before="60" w:after="60"/>
              <w:jc w:val="left"/>
              <w:rPr>
                <w:sz w:val="18"/>
                <w:szCs w:val="18"/>
              </w:rPr>
            </w:pPr>
            <w:r w:rsidRPr="006F1EE1">
              <w:rPr>
                <w:sz w:val="18"/>
                <w:szCs w:val="18"/>
              </w:rPr>
              <w:t>Uganda OCP</w:t>
            </w:r>
          </w:p>
        </w:tc>
        <w:tc>
          <w:tcPr>
            <w:tcW w:w="1981" w:type="pct"/>
          </w:tcPr>
          <w:p w14:paraId="20AA51A0" w14:textId="7EB5F431"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No </w:t>
            </w:r>
            <w:r w:rsidR="003C6684">
              <w:rPr>
                <w:sz w:val="18"/>
                <w:szCs w:val="18"/>
              </w:rPr>
              <w:t>hand-over</w:t>
            </w:r>
            <w:r w:rsidRPr="006F1EE1">
              <w:rPr>
                <w:sz w:val="18"/>
                <w:szCs w:val="18"/>
              </w:rPr>
              <w:t xml:space="preserve"> of MSF activities.</w:t>
            </w:r>
            <w:r w:rsidRPr="006F1EE1">
              <w:rPr>
                <w:sz w:val="18"/>
                <w:szCs w:val="18"/>
                <w:vertAlign w:val="superscript"/>
              </w:rPr>
              <w:footnoteReference w:id="124"/>
            </w:r>
          </w:p>
          <w:p w14:paraId="410A1A00" w14:textId="418C69C8"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MSF has ensured the alignment of its activities with </w:t>
            </w:r>
            <w:r w:rsidR="00B61C4F">
              <w:rPr>
                <w:sz w:val="18"/>
                <w:szCs w:val="18"/>
              </w:rPr>
              <w:t>MOH</w:t>
            </w:r>
            <w:r w:rsidRPr="006F1EE1">
              <w:rPr>
                <w:sz w:val="18"/>
                <w:szCs w:val="18"/>
              </w:rPr>
              <w:t xml:space="preserve"> policies: the </w:t>
            </w:r>
            <w:r w:rsidR="00B61C4F">
              <w:rPr>
                <w:sz w:val="18"/>
                <w:szCs w:val="18"/>
              </w:rPr>
              <w:t>MOH</w:t>
            </w:r>
            <w:r w:rsidRPr="006F1EE1">
              <w:rPr>
                <w:sz w:val="18"/>
                <w:szCs w:val="18"/>
              </w:rPr>
              <w:t xml:space="preserve"> ART guidelines recommend VL at a threshold of 1,000 copies/ml as the tool for diagnosing treatment failure and MSF’s clinical and psychosocial management of patients follows </w:t>
            </w:r>
            <w:r w:rsidR="00B61C4F">
              <w:rPr>
                <w:sz w:val="18"/>
                <w:szCs w:val="18"/>
              </w:rPr>
              <w:t>MOH</w:t>
            </w:r>
            <w:r w:rsidRPr="006F1EE1">
              <w:rPr>
                <w:sz w:val="18"/>
                <w:szCs w:val="18"/>
              </w:rPr>
              <w:t xml:space="preserve"> protocols. </w:t>
            </w:r>
          </w:p>
          <w:p w14:paraId="3B9458A7" w14:textId="42C2ED61" w:rsidR="00D97E3B" w:rsidRPr="006F1EE1" w:rsidRDefault="00B61C4F" w:rsidP="00D97E3B">
            <w:pPr>
              <w:numPr>
                <w:ilvl w:val="0"/>
                <w:numId w:val="1"/>
              </w:numPr>
              <w:spacing w:before="60" w:after="60"/>
              <w:ind w:left="170" w:hanging="170"/>
              <w:rPr>
                <w:sz w:val="18"/>
                <w:szCs w:val="18"/>
              </w:rPr>
            </w:pPr>
            <w:r>
              <w:rPr>
                <w:sz w:val="18"/>
                <w:szCs w:val="18"/>
              </w:rPr>
              <w:t>MOH</w:t>
            </w:r>
            <w:r w:rsidR="00D97E3B" w:rsidRPr="006F1EE1">
              <w:rPr>
                <w:sz w:val="18"/>
                <w:szCs w:val="18"/>
              </w:rPr>
              <w:t xml:space="preserve"> laboratory staff have been trained to operate the SAMBA platform and VL data from Arua is being imported into the national database. </w:t>
            </w:r>
          </w:p>
          <w:p w14:paraId="4519D2AA" w14:textId="2D40CB5A"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MSF has shared results on the benefits of the POC SAMBA technology in terms of patient management, simplification of treatment and short </w:t>
            </w:r>
            <w:r w:rsidR="004D0E48">
              <w:rPr>
                <w:sz w:val="18"/>
                <w:szCs w:val="18"/>
              </w:rPr>
              <w:t>TAT</w:t>
            </w:r>
            <w:r w:rsidRPr="006F1EE1">
              <w:rPr>
                <w:sz w:val="18"/>
                <w:szCs w:val="18"/>
              </w:rPr>
              <w:t>s.</w:t>
            </w:r>
          </w:p>
        </w:tc>
        <w:tc>
          <w:tcPr>
            <w:tcW w:w="2258" w:type="pct"/>
            <w:shd w:val="clear" w:color="auto" w:fill="FFC000"/>
          </w:tcPr>
          <w:p w14:paraId="0AB38EFD" w14:textId="23011136"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The </w:t>
            </w:r>
            <w:r w:rsidR="00B61C4F">
              <w:rPr>
                <w:sz w:val="18"/>
                <w:szCs w:val="18"/>
              </w:rPr>
              <w:t>MOH</w:t>
            </w:r>
            <w:r w:rsidRPr="006F1EE1">
              <w:rPr>
                <w:sz w:val="18"/>
                <w:szCs w:val="18"/>
              </w:rPr>
              <w:t xml:space="preserve"> has recognised the use of POC VL and the SAMBA specifically. </w:t>
            </w:r>
          </w:p>
          <w:p w14:paraId="25814179" w14:textId="7AFE0ECB"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However, the </w:t>
            </w:r>
            <w:r w:rsidR="00B61C4F">
              <w:rPr>
                <w:sz w:val="18"/>
                <w:szCs w:val="18"/>
              </w:rPr>
              <w:t>MOH</w:t>
            </w:r>
            <w:r w:rsidRPr="006F1EE1">
              <w:rPr>
                <w:sz w:val="18"/>
                <w:szCs w:val="18"/>
              </w:rPr>
              <w:t xml:space="preserve"> currently has no plans to include the SAMBA POC platform in its national VL technology landscape, possibly due to cost.</w:t>
            </w:r>
          </w:p>
          <w:p w14:paraId="6AB99652"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MSF will continue to provide the following services on its own funds after the closure of the grant: POC VL testing for ART patients; POC EID testing for exposed infants; HIV drug resistance testing in case of suspected second line ART failure; and management of failing patients, including provision of third line treatment.</w:t>
            </w:r>
          </w:p>
        </w:tc>
      </w:tr>
      <w:tr w:rsidR="00D97E3B" w:rsidRPr="009E3E34" w14:paraId="08D51B28" w14:textId="77777777" w:rsidTr="00894BCA">
        <w:tc>
          <w:tcPr>
            <w:tcW w:w="761" w:type="pct"/>
          </w:tcPr>
          <w:p w14:paraId="6C7C7AA7" w14:textId="77777777" w:rsidR="00D97E3B" w:rsidRPr="006F1EE1" w:rsidRDefault="00D97E3B" w:rsidP="00873066">
            <w:pPr>
              <w:spacing w:before="60" w:after="60"/>
              <w:jc w:val="left"/>
              <w:rPr>
                <w:sz w:val="18"/>
                <w:szCs w:val="18"/>
              </w:rPr>
            </w:pPr>
            <w:r w:rsidRPr="006F1EE1">
              <w:rPr>
                <w:sz w:val="18"/>
                <w:szCs w:val="18"/>
              </w:rPr>
              <w:t>Zimbabwe OCB</w:t>
            </w:r>
          </w:p>
        </w:tc>
        <w:tc>
          <w:tcPr>
            <w:tcW w:w="1981" w:type="pct"/>
          </w:tcPr>
          <w:p w14:paraId="7E7A40E4"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Advocated for (i) routine VL with MOH through technical working groups, partnership forums, and meetings with the national AIDS and TB programmes (routine VL adopted by Zimbabwe MOH in 2013) and (ii) optimal use of existing VL platforms, helping to accelerate scale up of VL through an existing Roche platform.</w:t>
            </w:r>
          </w:p>
          <w:p w14:paraId="33185E25"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Study on feasibility and cost-effectiveness of POC VL and EID through GeneXpert to inform policy on optimal use of POC technologies.</w:t>
            </w:r>
          </w:p>
          <w:p w14:paraId="48E079E6"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Development of a sample transport system offers a template for the MOH system, once funds have been secured.</w:t>
            </w:r>
          </w:p>
        </w:tc>
        <w:tc>
          <w:tcPr>
            <w:tcW w:w="2258" w:type="pct"/>
            <w:shd w:val="clear" w:color="auto" w:fill="E9F5DB" w:themeFill="accent3" w:themeFillTint="33"/>
          </w:tcPr>
          <w:p w14:paraId="66B138D4" w14:textId="7F8A7B34"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Most MSF-led activities at project sites have been handed over to the MOH. This includes: donation of VL machines and 3 months’ worth of </w:t>
            </w:r>
            <w:r w:rsidR="007B10C8">
              <w:rPr>
                <w:sz w:val="18"/>
                <w:szCs w:val="18"/>
              </w:rPr>
              <w:t>BM</w:t>
            </w:r>
            <w:r w:rsidRPr="006F1EE1">
              <w:rPr>
                <w:sz w:val="18"/>
                <w:szCs w:val="18"/>
              </w:rPr>
              <w:t xml:space="preserve"> VL reagents; laboratory services HR; reagent supply; machine repair and maintenance.</w:t>
            </w:r>
          </w:p>
          <w:p w14:paraId="37DE19C6"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Clinical management has been ‘fully’ handed over in two project sites (Chikomba and Buhera) but not in Gutu.</w:t>
            </w:r>
          </w:p>
          <w:p w14:paraId="5E8F84F7" w14:textId="2A13A174"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Overall VL coverage is low, estimated at 14% by closure of the project. VL </w:t>
            </w:r>
            <w:r w:rsidR="004D0E48">
              <w:rPr>
                <w:sz w:val="18"/>
                <w:szCs w:val="18"/>
              </w:rPr>
              <w:t>TAT</w:t>
            </w:r>
            <w:r w:rsidRPr="006F1EE1">
              <w:rPr>
                <w:sz w:val="18"/>
                <w:szCs w:val="18"/>
              </w:rPr>
              <w:t>s are very high, estimated at 46 days in 2016.</w:t>
            </w:r>
            <w:r w:rsidR="001440C9">
              <w:rPr>
                <w:sz w:val="18"/>
                <w:szCs w:val="18"/>
              </w:rPr>
              <w:t xml:space="preserve"> VL coverage is estimated to have increased since 2016.</w:t>
            </w:r>
          </w:p>
          <w:p w14:paraId="42ECCEDF"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In Buhera, VL coverage declined from 91% in 2014 (during MSF direct support) to 80% in 2015 (after MSF withdrew direct support)</w:t>
            </w:r>
          </w:p>
          <w:p w14:paraId="11C9245F"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Grant helped to catalyse MOH interest in VL scale-up and crowd in other donors (PEPFAR, GF and UNDP). Reagent supply now includes machine service and maintenance (it is currently managed by Chemonics with funding from GF).</w:t>
            </w:r>
          </w:p>
          <w:p w14:paraId="6C84FE71" w14:textId="4E25B4EF"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Grant helped to foster competition between platforms in-country, specifically with regard to (i) </w:t>
            </w:r>
            <w:r w:rsidR="007B10C8">
              <w:rPr>
                <w:sz w:val="18"/>
                <w:szCs w:val="18"/>
              </w:rPr>
              <w:t>BM</w:t>
            </w:r>
            <w:r w:rsidRPr="006F1EE1">
              <w:rPr>
                <w:sz w:val="18"/>
                <w:szCs w:val="18"/>
              </w:rPr>
              <w:t xml:space="preserve"> and Roche for VL and (ii) PIMA and BD FACSPresto for PoC CD4.</w:t>
            </w:r>
          </w:p>
          <w:p w14:paraId="45221C27"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Management: MSF will keep a ‘mentoring’ and ‘coaching’ role in Gutu, to support clinicians with ‘special cases’ and an emphasis on switching patients to second-line ART. </w:t>
            </w:r>
          </w:p>
          <w:p w14:paraId="489EDB9C"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Transport: MSF will continue to support sample transportation (from clinics to district level). A GF-funded transport system is in the pipeline, but MSF will maintain transport support until the GF system has been established.</w:t>
            </w:r>
          </w:p>
          <w:p w14:paraId="115BC88A" w14:textId="77777777" w:rsidR="00D97E3B" w:rsidRPr="006F1EE1" w:rsidRDefault="00D97E3B" w:rsidP="00D97E3B">
            <w:pPr>
              <w:numPr>
                <w:ilvl w:val="0"/>
                <w:numId w:val="1"/>
              </w:numPr>
              <w:spacing w:before="60" w:after="60"/>
              <w:ind w:left="170" w:hanging="170"/>
              <w:rPr>
                <w:sz w:val="18"/>
                <w:szCs w:val="18"/>
              </w:rPr>
            </w:pPr>
            <w:r w:rsidRPr="006F1EE1">
              <w:rPr>
                <w:sz w:val="18"/>
                <w:szCs w:val="18"/>
              </w:rPr>
              <w:t>Technical Support: MSF will continue its participation in the VL Technical Working Group.</w:t>
            </w:r>
          </w:p>
          <w:p w14:paraId="092919F2" w14:textId="5E36058D" w:rsidR="00D97E3B" w:rsidRPr="006F1EE1" w:rsidRDefault="00D97E3B" w:rsidP="00D97E3B">
            <w:pPr>
              <w:numPr>
                <w:ilvl w:val="0"/>
                <w:numId w:val="1"/>
              </w:numPr>
              <w:spacing w:before="60" w:after="60"/>
              <w:ind w:left="170" w:hanging="170"/>
              <w:rPr>
                <w:sz w:val="18"/>
                <w:szCs w:val="18"/>
              </w:rPr>
            </w:pPr>
            <w:r w:rsidRPr="006F1EE1">
              <w:rPr>
                <w:sz w:val="18"/>
                <w:szCs w:val="18"/>
              </w:rPr>
              <w:t xml:space="preserve">Advocacy: MSF will continue its VL advocacy activities towards (i) the </w:t>
            </w:r>
            <w:r w:rsidR="00B61C4F">
              <w:rPr>
                <w:sz w:val="18"/>
                <w:szCs w:val="18"/>
              </w:rPr>
              <w:t>MOH</w:t>
            </w:r>
            <w:r w:rsidRPr="006F1EE1">
              <w:rPr>
                <w:sz w:val="18"/>
                <w:szCs w:val="18"/>
              </w:rPr>
              <w:t xml:space="preserve"> and (ii) donors (e.g. GF).</w:t>
            </w:r>
          </w:p>
        </w:tc>
      </w:tr>
    </w:tbl>
    <w:p w14:paraId="727F7085" w14:textId="77777777" w:rsidR="00D97E3B" w:rsidRPr="009E3E34" w:rsidRDefault="00D97E3B" w:rsidP="00D97E3B">
      <w:pPr>
        <w:pStyle w:val="CEPAReportText"/>
      </w:pPr>
    </w:p>
    <w:p w14:paraId="5A4C1243" w14:textId="2E41DD4D" w:rsidR="009B15E1" w:rsidRDefault="009B15E1">
      <w:pPr>
        <w:spacing w:after="160" w:line="259" w:lineRule="auto"/>
        <w:jc w:val="left"/>
      </w:pPr>
      <w:r>
        <w:br w:type="page"/>
      </w:r>
    </w:p>
    <w:p w14:paraId="5764DD31" w14:textId="45B90C71" w:rsidR="009B15E1" w:rsidRPr="00117B19" w:rsidRDefault="00022771" w:rsidP="009B15E1">
      <w:pPr>
        <w:pStyle w:val="Heading7"/>
        <w:numPr>
          <w:ilvl w:val="0"/>
          <w:numId w:val="3"/>
        </w:numPr>
      </w:pPr>
      <w:bookmarkStart w:id="720" w:name="_Toc500445665"/>
      <w:bookmarkStart w:id="721" w:name="_Toc500503145"/>
      <w:bookmarkStart w:id="722" w:name="_Toc500508126"/>
      <w:bookmarkStart w:id="723" w:name="_Toc500512854"/>
      <w:bookmarkStart w:id="724" w:name="_Toc500517780"/>
      <w:bookmarkStart w:id="725" w:name="_Toc500519595"/>
      <w:bookmarkStart w:id="726" w:name="_Toc500524442"/>
      <w:bookmarkStart w:id="727" w:name="_Toc506417414"/>
      <w:bookmarkStart w:id="728" w:name="_Toc515359238"/>
      <w:bookmarkStart w:id="729" w:name="_Toc499656801"/>
      <w:bookmarkStart w:id="730" w:name="_Toc499658382"/>
      <w:bookmarkStart w:id="731" w:name="_Toc499658647"/>
      <w:bookmarkStart w:id="732" w:name="_Toc499658672"/>
      <w:bookmarkStart w:id="733" w:name="_Toc499658755"/>
      <w:r>
        <w:t xml:space="preserve">Presentation of </w:t>
      </w:r>
      <w:r w:rsidR="009B15E1">
        <w:t xml:space="preserve">conclusions </w:t>
      </w:r>
      <w:r>
        <w:t>as per</w:t>
      </w:r>
      <w:r w:rsidR="009B15E1">
        <w:t xml:space="preserve"> </w:t>
      </w:r>
      <w:r w:rsidR="00B55E9C">
        <w:t>Unitaid</w:t>
      </w:r>
      <w:r w:rsidR="009B15E1">
        <w:t xml:space="preserve">’s 2017-21 </w:t>
      </w:r>
      <w:r w:rsidR="00B6205B">
        <w:t>s</w:t>
      </w:r>
      <w:r w:rsidR="009B15E1">
        <w:t>trategy KPIs</w:t>
      </w:r>
      <w:bookmarkEnd w:id="720"/>
      <w:bookmarkEnd w:id="721"/>
      <w:bookmarkEnd w:id="722"/>
      <w:bookmarkEnd w:id="723"/>
      <w:bookmarkEnd w:id="724"/>
      <w:bookmarkEnd w:id="725"/>
      <w:bookmarkEnd w:id="726"/>
      <w:bookmarkEnd w:id="727"/>
      <w:bookmarkEnd w:id="728"/>
      <w:r w:rsidR="009B15E1">
        <w:t xml:space="preserve"> </w:t>
      </w:r>
      <w:bookmarkEnd w:id="729"/>
      <w:bookmarkEnd w:id="730"/>
      <w:bookmarkEnd w:id="731"/>
      <w:bookmarkEnd w:id="732"/>
      <w:bookmarkEnd w:id="733"/>
    </w:p>
    <w:p w14:paraId="538680C8" w14:textId="7052780C" w:rsidR="009B15E1" w:rsidRDefault="009B15E1" w:rsidP="009B15E1">
      <w:pPr>
        <w:pStyle w:val="CEPAReportText"/>
      </w:pPr>
      <w:r>
        <w:t xml:space="preserve">Table </w:t>
      </w:r>
      <w:r w:rsidR="00894BCA">
        <w:t>I.1</w:t>
      </w:r>
      <w:r>
        <w:t xml:space="preserve"> presents a mapping of the progress made by the project against </w:t>
      </w:r>
      <w:r w:rsidR="00B55E9C">
        <w:t>Unitaid</w:t>
      </w:r>
      <w:r>
        <w:t xml:space="preserve"> 2017-2021 KPIs</w:t>
      </w:r>
      <w:r w:rsidR="002546A1">
        <w:t>.</w:t>
      </w:r>
    </w:p>
    <w:p w14:paraId="39DFD6AD" w14:textId="3530F585" w:rsidR="009B15E1" w:rsidRPr="00117B19" w:rsidRDefault="009B15E1" w:rsidP="009B15E1">
      <w:pPr>
        <w:keepNext/>
        <w:spacing w:before="60" w:after="60"/>
        <w:rPr>
          <w:i/>
          <w:sz w:val="22"/>
        </w:rPr>
      </w:pPr>
      <w:r w:rsidRPr="00117B19">
        <w:rPr>
          <w:i/>
          <w:sz w:val="22"/>
        </w:rPr>
        <w:t xml:space="preserve">Table </w:t>
      </w:r>
      <w:r w:rsidR="00894BCA">
        <w:rPr>
          <w:i/>
          <w:sz w:val="22"/>
        </w:rPr>
        <w:t>I</w:t>
      </w:r>
      <w:r w:rsidRPr="00117B19">
        <w:rPr>
          <w:i/>
          <w:sz w:val="22"/>
        </w:rPr>
        <w:t xml:space="preserve">.1: Assessment of progress in terms of </w:t>
      </w:r>
      <w:r w:rsidR="00B55E9C">
        <w:rPr>
          <w:i/>
          <w:sz w:val="22"/>
        </w:rPr>
        <w:t>Unitaid</w:t>
      </w:r>
      <w:r w:rsidRPr="00117B19">
        <w:rPr>
          <w:i/>
          <w:sz w:val="22"/>
        </w:rPr>
        <w:t xml:space="preserve"> 2017-2021 KPIs</w:t>
      </w:r>
      <w:r w:rsidRPr="00117B19">
        <w:rPr>
          <w:i/>
          <w:sz w:val="22"/>
          <w:vertAlign w:val="superscript"/>
        </w:rPr>
        <w:footnoteReference w:id="125"/>
      </w:r>
      <w:r w:rsidRPr="00117B19">
        <w:rPr>
          <w:i/>
          <w:sz w:val="22"/>
        </w:rPr>
        <w:t xml:space="preserve"> </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31"/>
        <w:gridCol w:w="4564"/>
        <w:gridCol w:w="8553"/>
      </w:tblGrid>
      <w:tr w:rsidR="009B15E1" w:rsidRPr="00117B19" w14:paraId="6B73CEED" w14:textId="77777777" w:rsidTr="00983A27">
        <w:trPr>
          <w:tblHeader/>
        </w:trPr>
        <w:tc>
          <w:tcPr>
            <w:tcW w:w="298" w:type="pct"/>
            <w:shd w:val="solid" w:color="4B86CD" w:fill="auto"/>
          </w:tcPr>
          <w:p w14:paraId="5B3B716E" w14:textId="77777777" w:rsidR="009B15E1" w:rsidRPr="00117B19" w:rsidRDefault="009B15E1" w:rsidP="009B15E1">
            <w:pPr>
              <w:spacing w:before="60" w:after="60"/>
              <w:rPr>
                <w:b/>
                <w:color w:val="FFFFFF"/>
                <w:sz w:val="22"/>
              </w:rPr>
            </w:pPr>
            <w:r w:rsidRPr="00117B19">
              <w:rPr>
                <w:b/>
                <w:color w:val="FFFFFF"/>
                <w:sz w:val="22"/>
              </w:rPr>
              <w:t>KPI</w:t>
            </w:r>
          </w:p>
        </w:tc>
        <w:tc>
          <w:tcPr>
            <w:tcW w:w="1636" w:type="pct"/>
            <w:shd w:val="solid" w:color="4B86CD" w:fill="auto"/>
          </w:tcPr>
          <w:p w14:paraId="127B66D9" w14:textId="77777777" w:rsidR="009B15E1" w:rsidRPr="00117B19" w:rsidRDefault="009B15E1" w:rsidP="009B15E1">
            <w:pPr>
              <w:spacing w:before="60" w:after="60"/>
              <w:rPr>
                <w:b/>
                <w:color w:val="FFFFFF"/>
                <w:sz w:val="22"/>
              </w:rPr>
            </w:pPr>
            <w:r w:rsidRPr="00117B19">
              <w:rPr>
                <w:b/>
                <w:color w:val="FFFFFF"/>
                <w:sz w:val="22"/>
              </w:rPr>
              <w:t>KPI description</w:t>
            </w:r>
          </w:p>
        </w:tc>
        <w:tc>
          <w:tcPr>
            <w:tcW w:w="3066" w:type="pct"/>
            <w:shd w:val="solid" w:color="4B86CD" w:fill="auto"/>
          </w:tcPr>
          <w:p w14:paraId="23255D2A" w14:textId="77777777" w:rsidR="009B15E1" w:rsidRPr="00117B19" w:rsidRDefault="009B15E1" w:rsidP="009B15E1">
            <w:pPr>
              <w:spacing w:before="60" w:after="60"/>
              <w:rPr>
                <w:b/>
                <w:color w:val="FFFFFF"/>
                <w:sz w:val="22"/>
              </w:rPr>
            </w:pPr>
            <w:r>
              <w:rPr>
                <w:b/>
                <w:color w:val="FFFFFF"/>
                <w:sz w:val="22"/>
              </w:rPr>
              <w:t>Progress</w:t>
            </w:r>
          </w:p>
        </w:tc>
      </w:tr>
      <w:tr w:rsidR="009B15E1" w:rsidRPr="00117B19" w14:paraId="0620072D" w14:textId="77777777" w:rsidTr="00983A27">
        <w:tc>
          <w:tcPr>
            <w:tcW w:w="298" w:type="pct"/>
          </w:tcPr>
          <w:p w14:paraId="54D63C8D" w14:textId="77777777" w:rsidR="009B15E1" w:rsidRPr="00117B19" w:rsidRDefault="009B15E1" w:rsidP="009B15E1">
            <w:pPr>
              <w:spacing w:before="60" w:after="60"/>
              <w:rPr>
                <w:sz w:val="22"/>
              </w:rPr>
            </w:pPr>
            <w:r w:rsidRPr="00117B19">
              <w:rPr>
                <w:sz w:val="22"/>
              </w:rPr>
              <w:t>1.1</w:t>
            </w:r>
          </w:p>
        </w:tc>
        <w:tc>
          <w:tcPr>
            <w:tcW w:w="1636" w:type="pct"/>
            <w:shd w:val="clear" w:color="auto" w:fill="auto"/>
          </w:tcPr>
          <w:p w14:paraId="39DDE123" w14:textId="77777777" w:rsidR="009B15E1" w:rsidRDefault="009B15E1" w:rsidP="009B15E1">
            <w:pPr>
              <w:spacing w:before="60" w:after="60"/>
              <w:rPr>
                <w:sz w:val="22"/>
              </w:rPr>
            </w:pPr>
            <w:r w:rsidRPr="00117B19">
              <w:rPr>
                <w:sz w:val="22"/>
              </w:rPr>
              <w:t>Increasing public health impact</w:t>
            </w:r>
          </w:p>
          <w:p w14:paraId="1012D57B" w14:textId="77777777" w:rsidR="009B15E1" w:rsidRPr="00117B19" w:rsidRDefault="009B15E1" w:rsidP="009B15E1">
            <w:pPr>
              <w:spacing w:before="60" w:after="60"/>
              <w:rPr>
                <w:sz w:val="22"/>
              </w:rPr>
            </w:pPr>
            <w:r>
              <w:rPr>
                <w:sz w:val="22"/>
              </w:rPr>
              <w:t>(</w:t>
            </w:r>
            <w:r w:rsidRPr="00117B19">
              <w:rPr>
                <w:sz w:val="22"/>
              </w:rPr>
              <w:t>Number of lives saved - Number of infections or cases averted</w:t>
            </w:r>
            <w:r>
              <w:rPr>
                <w:sz w:val="22"/>
              </w:rPr>
              <w:t>)</w:t>
            </w:r>
          </w:p>
        </w:tc>
        <w:tc>
          <w:tcPr>
            <w:tcW w:w="3066" w:type="pct"/>
          </w:tcPr>
          <w:p w14:paraId="13D48338" w14:textId="5BC90006" w:rsidR="00551433" w:rsidRPr="00D73133" w:rsidRDefault="00551433" w:rsidP="009B15E1">
            <w:pPr>
              <w:spacing w:before="60" w:after="60"/>
              <w:rPr>
                <w:b/>
                <w:sz w:val="22"/>
                <w:szCs w:val="22"/>
              </w:rPr>
            </w:pPr>
            <w:r w:rsidRPr="00D73133">
              <w:rPr>
                <w:b/>
                <w:sz w:val="22"/>
                <w:szCs w:val="22"/>
              </w:rPr>
              <w:t>VL testing</w:t>
            </w:r>
          </w:p>
          <w:p w14:paraId="61F0F2A1" w14:textId="140682EB" w:rsidR="009B15E1" w:rsidRPr="00D73133" w:rsidRDefault="005A76FB" w:rsidP="009B15E1">
            <w:pPr>
              <w:spacing w:before="60" w:after="60"/>
              <w:rPr>
                <w:sz w:val="22"/>
                <w:szCs w:val="22"/>
              </w:rPr>
            </w:pPr>
            <w:r w:rsidRPr="00D73133">
              <w:rPr>
                <w:sz w:val="22"/>
                <w:szCs w:val="22"/>
              </w:rPr>
              <w:t xml:space="preserve">VL testing: Total of 426,181 tests conducted. </w:t>
            </w:r>
            <w:r w:rsidR="000A0746" w:rsidRPr="00D73133">
              <w:rPr>
                <w:sz w:val="22"/>
                <w:szCs w:val="22"/>
              </w:rPr>
              <w:t>% of coverage of VL testing was 44% overall, of which 33% was covered by MSF.</w:t>
            </w:r>
            <w:r w:rsidR="000A0746" w:rsidRPr="00D73133">
              <w:rPr>
                <w:rStyle w:val="FootnoteReference"/>
                <w:sz w:val="22"/>
                <w:szCs w:val="22"/>
              </w:rPr>
              <w:footnoteReference w:id="126"/>
            </w:r>
          </w:p>
          <w:p w14:paraId="6CC3FB7D" w14:textId="56EE0543" w:rsidR="000A0746" w:rsidRPr="00D73133" w:rsidRDefault="000A0746" w:rsidP="009B15E1">
            <w:pPr>
              <w:spacing w:before="60" w:after="60"/>
              <w:rPr>
                <w:sz w:val="22"/>
                <w:szCs w:val="22"/>
              </w:rPr>
            </w:pPr>
            <w:r w:rsidRPr="00D73133">
              <w:rPr>
                <w:sz w:val="22"/>
                <w:szCs w:val="22"/>
              </w:rPr>
              <w:t xml:space="preserve">4,839 patients have been moved to </w:t>
            </w:r>
            <w:r w:rsidR="00EA5AB6" w:rsidRPr="00D73133">
              <w:rPr>
                <w:sz w:val="22"/>
                <w:szCs w:val="22"/>
              </w:rPr>
              <w:t>second-line regimen</w:t>
            </w:r>
            <w:r w:rsidRPr="00D73133">
              <w:rPr>
                <w:sz w:val="22"/>
                <w:szCs w:val="22"/>
              </w:rPr>
              <w:t>.</w:t>
            </w:r>
            <w:r w:rsidR="00F4614B" w:rsidRPr="00D73133">
              <w:rPr>
                <w:rStyle w:val="FootnoteReference"/>
                <w:sz w:val="22"/>
                <w:szCs w:val="22"/>
              </w:rPr>
              <w:footnoteReference w:id="127"/>
            </w:r>
            <w:r w:rsidRPr="00D73133">
              <w:rPr>
                <w:sz w:val="22"/>
                <w:szCs w:val="22"/>
              </w:rPr>
              <w:t xml:space="preserve"> </w:t>
            </w:r>
          </w:p>
          <w:p w14:paraId="040CD686" w14:textId="0FE49283" w:rsidR="005A4D20" w:rsidRPr="00D73133" w:rsidRDefault="005A4D20" w:rsidP="009B15E1">
            <w:pPr>
              <w:spacing w:before="60" w:after="60"/>
              <w:rPr>
                <w:sz w:val="22"/>
                <w:szCs w:val="22"/>
              </w:rPr>
            </w:pPr>
            <w:r w:rsidRPr="00D73133">
              <w:rPr>
                <w:sz w:val="22"/>
                <w:szCs w:val="22"/>
              </w:rPr>
              <w:t xml:space="preserve">At </w:t>
            </w:r>
            <w:r w:rsidR="00161BB7" w:rsidRPr="00D73133">
              <w:rPr>
                <w:sz w:val="22"/>
                <w:szCs w:val="22"/>
              </w:rPr>
              <w:t xml:space="preserve">repeat VL test for those who previously had viraemia, </w:t>
            </w:r>
            <w:r w:rsidRPr="00D73133">
              <w:rPr>
                <w:sz w:val="22"/>
                <w:szCs w:val="22"/>
              </w:rPr>
              <w:t xml:space="preserve">22-50% </w:t>
            </w:r>
            <w:r w:rsidR="00161BB7" w:rsidRPr="00D73133">
              <w:rPr>
                <w:sz w:val="22"/>
                <w:szCs w:val="22"/>
              </w:rPr>
              <w:t xml:space="preserve">of patients </w:t>
            </w:r>
            <w:r w:rsidRPr="00D73133">
              <w:rPr>
                <w:sz w:val="22"/>
                <w:szCs w:val="22"/>
              </w:rPr>
              <w:t>had suppressed to &lt;1000 copied/ml</w:t>
            </w:r>
            <w:r w:rsidR="00161BB7" w:rsidRPr="00D73133">
              <w:rPr>
                <w:rStyle w:val="FootnoteReference"/>
                <w:sz w:val="22"/>
                <w:szCs w:val="22"/>
              </w:rPr>
              <w:footnoteReference w:id="128"/>
            </w:r>
          </w:p>
          <w:p w14:paraId="7322CEBD" w14:textId="5AD49D84" w:rsidR="000A0746" w:rsidRPr="00D73133" w:rsidRDefault="000A0746" w:rsidP="000A0746">
            <w:pPr>
              <w:spacing w:before="60" w:after="60"/>
              <w:rPr>
                <w:sz w:val="22"/>
                <w:szCs w:val="22"/>
              </w:rPr>
            </w:pPr>
            <w:r w:rsidRPr="00D73133">
              <w:rPr>
                <w:sz w:val="22"/>
                <w:szCs w:val="22"/>
              </w:rPr>
              <w:t xml:space="preserve">Through improving viral suppression (either through EAC, or changing to </w:t>
            </w:r>
            <w:r w:rsidR="00EA5AB6" w:rsidRPr="00D73133">
              <w:rPr>
                <w:sz w:val="22"/>
                <w:szCs w:val="22"/>
              </w:rPr>
              <w:t>second-line regimen</w:t>
            </w:r>
            <w:r w:rsidR="0086659D" w:rsidRPr="00D73133">
              <w:rPr>
                <w:sz w:val="22"/>
                <w:szCs w:val="22"/>
              </w:rPr>
              <w:t>)</w:t>
            </w:r>
            <w:r w:rsidRPr="00D73133">
              <w:rPr>
                <w:sz w:val="22"/>
                <w:szCs w:val="22"/>
              </w:rPr>
              <w:t>, mortality and morbidity are reduced. In addition, viral suppression, particularly to a lower than detectable level, significantly reduces the likelihood of HIV transmission.</w:t>
            </w:r>
          </w:p>
          <w:p w14:paraId="13DB9D98" w14:textId="75ED0EFF" w:rsidR="00161BB7" w:rsidRPr="00D73133" w:rsidRDefault="00161BB7" w:rsidP="000A0746">
            <w:pPr>
              <w:spacing w:before="60" w:after="60"/>
              <w:rPr>
                <w:sz w:val="22"/>
                <w:szCs w:val="22"/>
              </w:rPr>
            </w:pPr>
            <w:r w:rsidRPr="00D73133">
              <w:rPr>
                <w:sz w:val="22"/>
                <w:szCs w:val="22"/>
              </w:rPr>
              <w:t>The average number of calendar days between VL sample collection and results ready to be send from the lab: DRC (45 improving), Malawi Chiradzulu (1, improving); Mozambique (44, worsening), Swaziland (36, worsening), Uganda (0, improving), Zimbabwe (46 stable)</w:t>
            </w:r>
            <w:r w:rsidRPr="00D73133">
              <w:rPr>
                <w:rStyle w:val="FootnoteReference"/>
                <w:sz w:val="22"/>
                <w:szCs w:val="22"/>
              </w:rPr>
              <w:footnoteReference w:id="129"/>
            </w:r>
          </w:p>
          <w:p w14:paraId="072B8331" w14:textId="77777777" w:rsidR="00DF7302" w:rsidRPr="00D73133" w:rsidRDefault="00DF7302" w:rsidP="00DF7302">
            <w:pPr>
              <w:spacing w:before="60" w:after="60"/>
              <w:rPr>
                <w:sz w:val="22"/>
                <w:szCs w:val="22"/>
              </w:rPr>
            </w:pPr>
            <w:r w:rsidRPr="00D73133">
              <w:rPr>
                <w:sz w:val="22"/>
                <w:szCs w:val="22"/>
              </w:rPr>
              <w:t>Based on a study by Keiser et al. (2010) assessing the mortality at one year of patients switching to second-line treatment (4.2%), in comparison to those who remained failing first-line regimen (11.7%) in sub-Saharan Africa, it can be estimated that there were 363 deaths averted at one year due to 4,839 people switching to second-line treatment during the project.</w:t>
            </w:r>
            <w:r w:rsidRPr="00D73133">
              <w:rPr>
                <w:sz w:val="22"/>
                <w:szCs w:val="22"/>
                <w:vertAlign w:val="superscript"/>
              </w:rPr>
              <w:footnoteReference w:id="130"/>
            </w:r>
            <w:r w:rsidRPr="00D73133">
              <w:rPr>
                <w:sz w:val="22"/>
                <w:szCs w:val="22"/>
                <w:vertAlign w:val="superscript"/>
              </w:rPr>
              <w:t xml:space="preserve">, </w:t>
            </w:r>
            <w:r w:rsidRPr="00D73133">
              <w:rPr>
                <w:sz w:val="22"/>
                <w:szCs w:val="22"/>
                <w:vertAlign w:val="superscript"/>
              </w:rPr>
              <w:footnoteReference w:id="131"/>
            </w:r>
          </w:p>
          <w:p w14:paraId="7164AA70" w14:textId="2BBD56EE" w:rsidR="00DF7302" w:rsidRDefault="00DF7302" w:rsidP="00DF7302">
            <w:pPr>
              <w:spacing w:before="60" w:after="60"/>
              <w:rPr>
                <w:sz w:val="22"/>
                <w:szCs w:val="22"/>
              </w:rPr>
            </w:pPr>
            <w:r w:rsidRPr="00D73133">
              <w:rPr>
                <w:sz w:val="22"/>
                <w:szCs w:val="22"/>
              </w:rPr>
              <w:t>Keiser et al (2011) note the benefits from routine VL monitoring beyond just switching to second-line treatment, and that at three years post routine VL coverage, 4.3% (CI 3.9</w:t>
            </w:r>
            <w:r w:rsidR="00336FE8">
              <w:rPr>
                <w:sz w:val="22"/>
                <w:szCs w:val="22"/>
              </w:rPr>
              <w:t xml:space="preserve"> </w:t>
            </w:r>
            <w:r w:rsidRPr="00D73133">
              <w:rPr>
                <w:sz w:val="22"/>
                <w:szCs w:val="22"/>
              </w:rPr>
              <w:t>–</w:t>
            </w:r>
            <w:r w:rsidR="00336FE8">
              <w:rPr>
                <w:sz w:val="22"/>
                <w:szCs w:val="22"/>
              </w:rPr>
              <w:t xml:space="preserve"> </w:t>
            </w:r>
            <w:r w:rsidRPr="00D73133">
              <w:rPr>
                <w:sz w:val="22"/>
                <w:szCs w:val="22"/>
              </w:rPr>
              <w:t>4.8%) had died in comparison to 6.3% (CI 6.0</w:t>
            </w:r>
            <w:r w:rsidR="00336FE8">
              <w:rPr>
                <w:sz w:val="22"/>
                <w:szCs w:val="22"/>
              </w:rPr>
              <w:t xml:space="preserve"> </w:t>
            </w:r>
            <w:r w:rsidRPr="00D73133">
              <w:rPr>
                <w:sz w:val="22"/>
                <w:szCs w:val="22"/>
              </w:rPr>
              <w:t>–</w:t>
            </w:r>
            <w:r w:rsidR="00336FE8">
              <w:rPr>
                <w:sz w:val="22"/>
                <w:szCs w:val="22"/>
              </w:rPr>
              <w:t xml:space="preserve"> </w:t>
            </w:r>
            <w:r w:rsidRPr="00D73133">
              <w:rPr>
                <w:sz w:val="22"/>
                <w:szCs w:val="22"/>
              </w:rPr>
              <w:t>6.5%) who died in settings without routine VL coverage.</w:t>
            </w:r>
            <w:r w:rsidRPr="00D73133">
              <w:rPr>
                <w:sz w:val="22"/>
                <w:szCs w:val="22"/>
                <w:vertAlign w:val="superscript"/>
              </w:rPr>
              <w:footnoteReference w:id="132"/>
            </w:r>
            <w:r w:rsidRPr="00D73133">
              <w:rPr>
                <w:sz w:val="22"/>
                <w:szCs w:val="22"/>
              </w:rPr>
              <w:t xml:space="preserve"> Therefore the estimated direct impact of the project at three years post increasing VL testing coverage is that an estimated 2,579 </w:t>
            </w:r>
            <w:r w:rsidR="00FA6FC6" w:rsidRPr="00D73133">
              <w:rPr>
                <w:sz w:val="22"/>
                <w:szCs w:val="22"/>
              </w:rPr>
              <w:t xml:space="preserve">(CI 2,192 – 2,708) </w:t>
            </w:r>
            <w:r w:rsidRPr="00D73133">
              <w:rPr>
                <w:sz w:val="22"/>
                <w:szCs w:val="22"/>
              </w:rPr>
              <w:t>deaths were averted, in comparison to VL testing coverage not having been scaled up.</w:t>
            </w:r>
            <w:r w:rsidRPr="00D73133">
              <w:rPr>
                <w:sz w:val="22"/>
                <w:szCs w:val="22"/>
                <w:vertAlign w:val="superscript"/>
              </w:rPr>
              <w:footnoteReference w:id="133"/>
            </w:r>
            <w:r w:rsidRPr="00D73133">
              <w:rPr>
                <w:sz w:val="22"/>
                <w:szCs w:val="22"/>
                <w:vertAlign w:val="superscript"/>
              </w:rPr>
              <w:t xml:space="preserve"> </w:t>
            </w:r>
            <w:r w:rsidRPr="00D73133">
              <w:rPr>
                <w:sz w:val="22"/>
                <w:szCs w:val="22"/>
              </w:rPr>
              <w:t xml:space="preserve">  </w:t>
            </w:r>
          </w:p>
          <w:p w14:paraId="4FD3471E" w14:textId="64B259B4" w:rsidR="00D73133" w:rsidRPr="00D73133" w:rsidRDefault="00D73133" w:rsidP="00DF7302">
            <w:pPr>
              <w:spacing w:before="60" w:after="60"/>
              <w:rPr>
                <w:sz w:val="22"/>
                <w:szCs w:val="22"/>
              </w:rPr>
            </w:pPr>
            <w:r>
              <w:rPr>
                <w:sz w:val="22"/>
                <w:szCs w:val="22"/>
              </w:rPr>
              <w:t xml:space="preserve">Additional estimations on indirect public health impact of the project are provided in Annex J. </w:t>
            </w:r>
          </w:p>
          <w:p w14:paraId="59CDBC76" w14:textId="619D2A8F" w:rsidR="00551433" w:rsidRPr="00D73133" w:rsidRDefault="00551433" w:rsidP="00551433">
            <w:pPr>
              <w:spacing w:before="60" w:after="60"/>
              <w:rPr>
                <w:sz w:val="22"/>
                <w:szCs w:val="22"/>
              </w:rPr>
            </w:pPr>
            <w:r w:rsidRPr="00D73133">
              <w:rPr>
                <w:b/>
                <w:sz w:val="22"/>
                <w:szCs w:val="22"/>
              </w:rPr>
              <w:t>CD4 testing</w:t>
            </w:r>
            <w:r w:rsidRPr="00D73133">
              <w:rPr>
                <w:sz w:val="22"/>
                <w:szCs w:val="22"/>
              </w:rPr>
              <w:t>: Total of 71,125 tests conducted</w:t>
            </w:r>
            <w:r w:rsidR="00161BB7" w:rsidRPr="00D73133">
              <w:rPr>
                <w:rStyle w:val="FootnoteReference"/>
                <w:sz w:val="22"/>
                <w:szCs w:val="22"/>
              </w:rPr>
              <w:footnoteReference w:id="134"/>
            </w:r>
          </w:p>
          <w:p w14:paraId="08F3A57B" w14:textId="5E1942A9" w:rsidR="000A0746" w:rsidRPr="00D73133" w:rsidRDefault="00551433" w:rsidP="000A0746">
            <w:pPr>
              <w:spacing w:before="60" w:after="60"/>
              <w:rPr>
                <w:sz w:val="22"/>
                <w:szCs w:val="22"/>
              </w:rPr>
            </w:pPr>
            <w:r w:rsidRPr="00D73133">
              <w:rPr>
                <w:b/>
                <w:sz w:val="22"/>
                <w:szCs w:val="22"/>
              </w:rPr>
              <w:t>EID testing</w:t>
            </w:r>
            <w:r w:rsidRPr="00D73133">
              <w:rPr>
                <w:sz w:val="22"/>
                <w:szCs w:val="22"/>
              </w:rPr>
              <w:t>: Total of 5,875 tests conducted</w:t>
            </w:r>
            <w:r w:rsidR="00A51F99" w:rsidRPr="00D73133">
              <w:rPr>
                <w:sz w:val="22"/>
                <w:szCs w:val="22"/>
              </w:rPr>
              <w:t xml:space="preserve">. </w:t>
            </w:r>
            <w:r w:rsidR="00230C66" w:rsidRPr="00D73133">
              <w:rPr>
                <w:sz w:val="22"/>
                <w:szCs w:val="22"/>
              </w:rPr>
              <w:t>The avera</w:t>
            </w:r>
            <w:r w:rsidR="006B1964" w:rsidRPr="00D73133">
              <w:rPr>
                <w:sz w:val="22"/>
                <w:szCs w:val="22"/>
              </w:rPr>
              <w:t xml:space="preserve">ge number of calendar days from EID sample collection to treatment initiation </w:t>
            </w:r>
            <w:r w:rsidR="00230C66" w:rsidRPr="00D73133">
              <w:rPr>
                <w:sz w:val="22"/>
                <w:szCs w:val="22"/>
              </w:rPr>
              <w:t xml:space="preserve">decreased throughout the project to 30 </w:t>
            </w:r>
            <w:r w:rsidR="001E27A1" w:rsidRPr="00D73133">
              <w:rPr>
                <w:sz w:val="22"/>
                <w:szCs w:val="22"/>
              </w:rPr>
              <w:t>days (DRC); 10 days (Kenya), 1 day (South Africa).</w:t>
            </w:r>
            <w:r w:rsidR="005A4D20" w:rsidRPr="00D73133">
              <w:rPr>
                <w:rStyle w:val="FootnoteReference"/>
                <w:sz w:val="22"/>
                <w:szCs w:val="22"/>
              </w:rPr>
              <w:footnoteReference w:id="135"/>
            </w:r>
            <w:r w:rsidR="001E27A1" w:rsidRPr="00D73133">
              <w:rPr>
                <w:sz w:val="22"/>
                <w:szCs w:val="22"/>
              </w:rPr>
              <w:t xml:space="preserve"> </w:t>
            </w:r>
            <w:r w:rsidR="006B1964" w:rsidRPr="00D73133">
              <w:rPr>
                <w:sz w:val="22"/>
                <w:szCs w:val="22"/>
              </w:rPr>
              <w:t xml:space="preserve">  </w:t>
            </w:r>
          </w:p>
        </w:tc>
      </w:tr>
      <w:tr w:rsidR="009B15E1" w:rsidRPr="00117B19" w14:paraId="7C2F5312" w14:textId="77777777" w:rsidTr="00983A27">
        <w:tc>
          <w:tcPr>
            <w:tcW w:w="298" w:type="pct"/>
          </w:tcPr>
          <w:p w14:paraId="15BFF243" w14:textId="77777777" w:rsidR="009B15E1" w:rsidRPr="00117B19" w:rsidRDefault="009B15E1" w:rsidP="009B15E1">
            <w:pPr>
              <w:spacing w:before="60" w:after="60"/>
              <w:rPr>
                <w:sz w:val="22"/>
              </w:rPr>
            </w:pPr>
            <w:r w:rsidRPr="00117B19">
              <w:rPr>
                <w:sz w:val="22"/>
              </w:rPr>
              <w:t>1.2</w:t>
            </w:r>
          </w:p>
        </w:tc>
        <w:tc>
          <w:tcPr>
            <w:tcW w:w="1636" w:type="pct"/>
            <w:shd w:val="clear" w:color="auto" w:fill="auto"/>
          </w:tcPr>
          <w:p w14:paraId="7FBDAE8E" w14:textId="77777777" w:rsidR="009B15E1" w:rsidRDefault="009B15E1" w:rsidP="009B15E1">
            <w:pPr>
              <w:spacing w:before="60" w:after="60"/>
              <w:rPr>
                <w:sz w:val="22"/>
              </w:rPr>
            </w:pPr>
            <w:r w:rsidRPr="00117B19">
              <w:rPr>
                <w:sz w:val="22"/>
              </w:rPr>
              <w:t>Generating efficiencies &amp; savings</w:t>
            </w:r>
          </w:p>
          <w:p w14:paraId="2ADE82F6" w14:textId="77777777" w:rsidR="009B15E1" w:rsidRPr="00117B19" w:rsidRDefault="009B15E1" w:rsidP="009B15E1">
            <w:pPr>
              <w:spacing w:before="60" w:after="60"/>
              <w:rPr>
                <w:sz w:val="22"/>
              </w:rPr>
            </w:pPr>
            <w:r>
              <w:rPr>
                <w:sz w:val="22"/>
              </w:rPr>
              <w:t>(</w:t>
            </w:r>
            <w:r w:rsidRPr="00117B19">
              <w:rPr>
                <w:sz w:val="22"/>
              </w:rPr>
              <w:t>Financial savings ($) + Health System Efficiencies ($)</w:t>
            </w:r>
            <w:r>
              <w:rPr>
                <w:sz w:val="22"/>
              </w:rPr>
              <w:t>)</w:t>
            </w:r>
          </w:p>
        </w:tc>
        <w:tc>
          <w:tcPr>
            <w:tcW w:w="3066" w:type="pct"/>
          </w:tcPr>
          <w:p w14:paraId="176B30A5" w14:textId="541AB647" w:rsidR="000A0746" w:rsidRPr="000A0746" w:rsidRDefault="000A0746" w:rsidP="000A0746">
            <w:pPr>
              <w:spacing w:before="60" w:after="60"/>
              <w:rPr>
                <w:sz w:val="22"/>
              </w:rPr>
            </w:pPr>
            <w:r w:rsidRPr="000A0746">
              <w:rPr>
                <w:sz w:val="22"/>
              </w:rPr>
              <w:t xml:space="preserve">Financial savings: </w:t>
            </w:r>
            <w:r>
              <w:rPr>
                <w:sz w:val="22"/>
              </w:rPr>
              <w:t xml:space="preserve">in some instances price reductions for reagents were achieved </w:t>
            </w:r>
            <w:r w:rsidR="005A76FB">
              <w:rPr>
                <w:sz w:val="22"/>
              </w:rPr>
              <w:t>(</w:t>
            </w:r>
            <w:r w:rsidR="005A76FB" w:rsidRPr="005A76FB">
              <w:rPr>
                <w:sz w:val="22"/>
              </w:rPr>
              <w:t>Abbott VL test fell from US</w:t>
            </w:r>
            <w:r w:rsidR="005A76FB">
              <w:rPr>
                <w:sz w:val="22"/>
              </w:rPr>
              <w:t>$</w:t>
            </w:r>
            <w:r w:rsidR="005A76FB" w:rsidRPr="005A76FB">
              <w:rPr>
                <w:sz w:val="22"/>
              </w:rPr>
              <w:t>65 per test to US</w:t>
            </w:r>
            <w:r w:rsidR="005A76FB">
              <w:rPr>
                <w:sz w:val="22"/>
              </w:rPr>
              <w:t>$</w:t>
            </w:r>
            <w:r w:rsidR="005A76FB" w:rsidRPr="005A76FB">
              <w:rPr>
                <w:sz w:val="22"/>
              </w:rPr>
              <w:t>15</w:t>
            </w:r>
            <w:r w:rsidR="005A76FB">
              <w:rPr>
                <w:sz w:val="22"/>
              </w:rPr>
              <w:t xml:space="preserve">; SAMBA I reagent cost was reduced from </w:t>
            </w:r>
            <w:r w:rsidR="005A76FB" w:rsidRPr="005A76FB">
              <w:rPr>
                <w:sz w:val="22"/>
              </w:rPr>
              <w:t>US$45 to US$38</w:t>
            </w:r>
            <w:r w:rsidR="005A76FB">
              <w:rPr>
                <w:sz w:val="22"/>
              </w:rPr>
              <w:t>.</w:t>
            </w:r>
          </w:p>
          <w:p w14:paraId="0D2EE3BE" w14:textId="7F5517CD" w:rsidR="009B15E1" w:rsidRDefault="000A0746" w:rsidP="007E0C35">
            <w:pPr>
              <w:spacing w:before="60" w:after="60"/>
              <w:rPr>
                <w:sz w:val="22"/>
              </w:rPr>
            </w:pPr>
            <w:r w:rsidRPr="000A0746">
              <w:rPr>
                <w:sz w:val="22"/>
              </w:rPr>
              <w:t xml:space="preserve">Health System Efficiencies: (i) </w:t>
            </w:r>
            <w:r w:rsidR="005A76FB" w:rsidRPr="005A76FB">
              <w:rPr>
                <w:sz w:val="22"/>
              </w:rPr>
              <w:t xml:space="preserve">DBS sample collection </w:t>
            </w:r>
            <w:r w:rsidR="005A76FB">
              <w:rPr>
                <w:sz w:val="22"/>
              </w:rPr>
              <w:t xml:space="preserve">and transport </w:t>
            </w:r>
            <w:r w:rsidR="005A76FB" w:rsidRPr="005A76FB">
              <w:rPr>
                <w:sz w:val="22"/>
              </w:rPr>
              <w:t>easier than plasma</w:t>
            </w:r>
            <w:r w:rsidRPr="000A0746">
              <w:rPr>
                <w:sz w:val="22"/>
              </w:rPr>
              <w:t xml:space="preserve"> (ii) </w:t>
            </w:r>
            <w:r w:rsidR="005A76FB">
              <w:rPr>
                <w:sz w:val="22"/>
              </w:rPr>
              <w:t xml:space="preserve">task-shifting to lower cadres with regarding to sample collection and </w:t>
            </w:r>
            <w:r w:rsidR="00EA5AB6">
              <w:rPr>
                <w:sz w:val="22"/>
              </w:rPr>
              <w:t>second-line regimen</w:t>
            </w:r>
            <w:r w:rsidR="005A76FB">
              <w:rPr>
                <w:sz w:val="22"/>
              </w:rPr>
              <w:t xml:space="preserve"> switching; (iii) patients </w:t>
            </w:r>
            <w:r w:rsidR="005A76FB" w:rsidRPr="005A76FB">
              <w:rPr>
                <w:sz w:val="22"/>
              </w:rPr>
              <w:t>becom</w:t>
            </w:r>
            <w:r w:rsidR="005A76FB">
              <w:rPr>
                <w:sz w:val="22"/>
              </w:rPr>
              <w:t>ing</w:t>
            </w:r>
            <w:r w:rsidR="005A76FB" w:rsidRPr="005A76FB">
              <w:rPr>
                <w:sz w:val="22"/>
              </w:rPr>
              <w:t xml:space="preserve"> virally suppressed</w:t>
            </w:r>
            <w:r w:rsidR="005A76FB">
              <w:rPr>
                <w:sz w:val="22"/>
              </w:rPr>
              <w:t xml:space="preserve"> post EAC reduces</w:t>
            </w:r>
            <w:r w:rsidR="005A76FB" w:rsidRPr="005A76FB">
              <w:rPr>
                <w:sz w:val="22"/>
              </w:rPr>
              <w:t xml:space="preserve"> patients unnecessarily being switched to </w:t>
            </w:r>
            <w:r w:rsidR="00093AAF">
              <w:rPr>
                <w:sz w:val="22"/>
              </w:rPr>
              <w:t>second-line treatment</w:t>
            </w:r>
            <w:r w:rsidR="005A76FB" w:rsidRPr="005A76FB">
              <w:rPr>
                <w:sz w:val="22"/>
              </w:rPr>
              <w:t>, which is more costly</w:t>
            </w:r>
            <w:r w:rsidR="005A76FB">
              <w:rPr>
                <w:sz w:val="22"/>
              </w:rPr>
              <w:t xml:space="preserve">; (iv) ability to </w:t>
            </w:r>
            <w:r w:rsidR="005A76FB" w:rsidRPr="005A76FB">
              <w:rPr>
                <w:sz w:val="22"/>
              </w:rPr>
              <w:t xml:space="preserve">‘fast-track’ </w:t>
            </w:r>
            <w:r w:rsidR="005A76FB">
              <w:rPr>
                <w:sz w:val="22"/>
              </w:rPr>
              <w:t>patients if</w:t>
            </w:r>
            <w:r w:rsidR="005A76FB" w:rsidRPr="005A76FB">
              <w:rPr>
                <w:sz w:val="22"/>
              </w:rPr>
              <w:t xml:space="preserve"> found to be virally suppressed</w:t>
            </w:r>
            <w:r w:rsidR="005A76FB">
              <w:rPr>
                <w:sz w:val="22"/>
              </w:rPr>
              <w:t xml:space="preserve">; (v) </w:t>
            </w:r>
            <w:r w:rsidR="007E0C35">
              <w:rPr>
                <w:sz w:val="22"/>
              </w:rPr>
              <w:t xml:space="preserve">reduces underutilisation of </w:t>
            </w:r>
            <w:r w:rsidR="005A76FB">
              <w:rPr>
                <w:sz w:val="22"/>
              </w:rPr>
              <w:t>m</w:t>
            </w:r>
            <w:r w:rsidR="005A76FB" w:rsidRPr="005A76FB">
              <w:rPr>
                <w:sz w:val="22"/>
              </w:rPr>
              <w:t>ulti-platforms (</w:t>
            </w:r>
            <w:r w:rsidR="005A76FB">
              <w:rPr>
                <w:sz w:val="22"/>
              </w:rPr>
              <w:t>e.g</w:t>
            </w:r>
            <w:r w:rsidR="005A76FB" w:rsidRPr="005A76FB">
              <w:rPr>
                <w:sz w:val="22"/>
              </w:rPr>
              <w:t xml:space="preserve"> GeneXpert)</w:t>
            </w:r>
            <w:r w:rsidR="007E0C35">
              <w:rPr>
                <w:sz w:val="22"/>
              </w:rPr>
              <w:t>; (vi) with regards to POC, reduction in TAT f</w:t>
            </w:r>
            <w:r w:rsidR="007E0C35" w:rsidRPr="007E0C35">
              <w:rPr>
                <w:sz w:val="22"/>
              </w:rPr>
              <w:t xml:space="preserve">ewer </w:t>
            </w:r>
            <w:r w:rsidR="007E0C35">
              <w:rPr>
                <w:sz w:val="22"/>
              </w:rPr>
              <w:t>samples are lost, and results can be acted upon more quickly.</w:t>
            </w:r>
          </w:p>
          <w:p w14:paraId="07DB1E8A" w14:textId="6C9863F5" w:rsidR="007E0C35" w:rsidRPr="00117B19" w:rsidRDefault="007E0C35" w:rsidP="007E0C35">
            <w:pPr>
              <w:spacing w:before="60" w:after="60"/>
              <w:rPr>
                <w:sz w:val="22"/>
              </w:rPr>
            </w:pPr>
            <w:r>
              <w:rPr>
                <w:sz w:val="22"/>
              </w:rPr>
              <w:t>For beneficiaries: cost and time savings through (ii) same day results in POC tes</w:t>
            </w:r>
            <w:r w:rsidR="006525FF">
              <w:rPr>
                <w:sz w:val="22"/>
              </w:rPr>
              <w:t>t</w:t>
            </w:r>
            <w:r>
              <w:rPr>
                <w:sz w:val="22"/>
              </w:rPr>
              <w:t>ing; (ii) CAGs and ART refill</w:t>
            </w:r>
          </w:p>
        </w:tc>
      </w:tr>
      <w:tr w:rsidR="009B15E1" w:rsidRPr="00117B19" w14:paraId="50B380F2" w14:textId="77777777" w:rsidTr="00983A27">
        <w:tc>
          <w:tcPr>
            <w:tcW w:w="298" w:type="pct"/>
          </w:tcPr>
          <w:p w14:paraId="3E92C98F" w14:textId="77777777" w:rsidR="009B15E1" w:rsidRPr="00117B19" w:rsidRDefault="009B15E1" w:rsidP="009B15E1">
            <w:pPr>
              <w:spacing w:before="60" w:after="60"/>
              <w:rPr>
                <w:sz w:val="22"/>
              </w:rPr>
            </w:pPr>
            <w:r w:rsidRPr="00117B19">
              <w:rPr>
                <w:sz w:val="22"/>
              </w:rPr>
              <w:t>1.3</w:t>
            </w:r>
          </w:p>
        </w:tc>
        <w:tc>
          <w:tcPr>
            <w:tcW w:w="1636" w:type="pct"/>
            <w:shd w:val="clear" w:color="auto" w:fill="auto"/>
          </w:tcPr>
          <w:p w14:paraId="204B3BB5" w14:textId="77777777" w:rsidR="009B15E1" w:rsidRDefault="009B15E1" w:rsidP="009B15E1">
            <w:pPr>
              <w:spacing w:before="60" w:after="60"/>
              <w:rPr>
                <w:sz w:val="22"/>
              </w:rPr>
            </w:pPr>
            <w:r w:rsidRPr="00117B19">
              <w:rPr>
                <w:sz w:val="22"/>
              </w:rPr>
              <w:t>Delivering positive returns</w:t>
            </w:r>
          </w:p>
          <w:p w14:paraId="013E508C" w14:textId="77777777" w:rsidR="009B15E1" w:rsidRPr="00117B19" w:rsidRDefault="009B15E1" w:rsidP="009B15E1">
            <w:pPr>
              <w:spacing w:before="60" w:after="60"/>
              <w:rPr>
                <w:sz w:val="22"/>
              </w:rPr>
            </w:pPr>
            <w:r>
              <w:rPr>
                <w:sz w:val="22"/>
              </w:rPr>
              <w:t>(</w:t>
            </w:r>
            <w:r w:rsidRPr="00117B19">
              <w:rPr>
                <w:sz w:val="22"/>
              </w:rPr>
              <w:t>Return on Investment = $ Benefits / $ Costs</w:t>
            </w:r>
            <w:r>
              <w:rPr>
                <w:sz w:val="22"/>
              </w:rPr>
              <w:t>)</w:t>
            </w:r>
          </w:p>
        </w:tc>
        <w:tc>
          <w:tcPr>
            <w:tcW w:w="3066" w:type="pct"/>
          </w:tcPr>
          <w:p w14:paraId="1E2A1D51" w14:textId="3354363A" w:rsidR="009B15E1" w:rsidRPr="00117B19" w:rsidRDefault="006525FF" w:rsidP="009B15E1">
            <w:pPr>
              <w:spacing w:before="60" w:after="60"/>
              <w:rPr>
                <w:sz w:val="22"/>
              </w:rPr>
            </w:pPr>
            <w:r>
              <w:rPr>
                <w:sz w:val="22"/>
              </w:rPr>
              <w:t xml:space="preserve">Limited cost-effective analyses were conducted in this project. </w:t>
            </w:r>
          </w:p>
        </w:tc>
      </w:tr>
      <w:tr w:rsidR="009B15E1" w:rsidRPr="00117B19" w14:paraId="5C04A399" w14:textId="77777777" w:rsidTr="00983A27">
        <w:tc>
          <w:tcPr>
            <w:tcW w:w="298" w:type="pct"/>
          </w:tcPr>
          <w:p w14:paraId="1166998F" w14:textId="77777777" w:rsidR="009B15E1" w:rsidRPr="00117B19" w:rsidRDefault="009B15E1" w:rsidP="009B15E1">
            <w:pPr>
              <w:spacing w:before="60" w:after="60"/>
              <w:rPr>
                <w:sz w:val="22"/>
              </w:rPr>
            </w:pPr>
            <w:r w:rsidRPr="00117B19">
              <w:rPr>
                <w:sz w:val="22"/>
              </w:rPr>
              <w:t>2.1</w:t>
            </w:r>
          </w:p>
        </w:tc>
        <w:tc>
          <w:tcPr>
            <w:tcW w:w="1636" w:type="pct"/>
            <w:shd w:val="clear" w:color="auto" w:fill="auto"/>
          </w:tcPr>
          <w:p w14:paraId="281DCE07" w14:textId="77777777" w:rsidR="009B15E1" w:rsidRDefault="009B15E1" w:rsidP="009B15E1">
            <w:pPr>
              <w:spacing w:before="60" w:after="60"/>
              <w:rPr>
                <w:sz w:val="22"/>
              </w:rPr>
            </w:pPr>
            <w:r w:rsidRPr="00117B19">
              <w:rPr>
                <w:sz w:val="22"/>
              </w:rPr>
              <w:t>Investing for the poorest</w:t>
            </w:r>
          </w:p>
          <w:p w14:paraId="1A75BC89" w14:textId="77777777" w:rsidR="009B15E1" w:rsidRPr="00117B19" w:rsidRDefault="009B15E1" w:rsidP="009B15E1">
            <w:pPr>
              <w:spacing w:before="60" w:after="60"/>
              <w:rPr>
                <w:sz w:val="22"/>
              </w:rPr>
            </w:pPr>
            <w:r>
              <w:rPr>
                <w:sz w:val="22"/>
              </w:rPr>
              <w:t>(</w:t>
            </w:r>
            <w:r w:rsidRPr="00117B19">
              <w:rPr>
                <w:sz w:val="22"/>
              </w:rPr>
              <w:t>Total number (or $) of active grants designed to benefit people living in LICs and LMICs / Total number of active grants (or $)</w:t>
            </w:r>
            <w:r>
              <w:rPr>
                <w:sz w:val="22"/>
              </w:rPr>
              <w:t>)</w:t>
            </w:r>
          </w:p>
        </w:tc>
        <w:tc>
          <w:tcPr>
            <w:tcW w:w="3066" w:type="pct"/>
          </w:tcPr>
          <w:p w14:paraId="31CE8D04" w14:textId="05284A4A" w:rsidR="009B15E1" w:rsidRPr="00117B19" w:rsidRDefault="006525FF" w:rsidP="009B15E1">
            <w:pPr>
              <w:spacing w:before="60" w:after="60"/>
              <w:rPr>
                <w:sz w:val="22"/>
              </w:rPr>
            </w:pPr>
            <w:r w:rsidRPr="006525FF">
              <w:rPr>
                <w:sz w:val="22"/>
              </w:rPr>
              <w:t xml:space="preserve">This project fits within </w:t>
            </w:r>
            <w:r w:rsidR="00B55E9C">
              <w:rPr>
                <w:sz w:val="22"/>
              </w:rPr>
              <w:t>Unitaid</w:t>
            </w:r>
            <w:r w:rsidRPr="006525FF">
              <w:rPr>
                <w:sz w:val="22"/>
              </w:rPr>
              <w:t>’s portfolio through reaching  populations in LMICs</w:t>
            </w:r>
          </w:p>
        </w:tc>
      </w:tr>
      <w:tr w:rsidR="009B15E1" w:rsidRPr="00117B19" w14:paraId="75D4B9A6" w14:textId="77777777" w:rsidTr="00983A27">
        <w:tc>
          <w:tcPr>
            <w:tcW w:w="298" w:type="pct"/>
          </w:tcPr>
          <w:p w14:paraId="390519EC" w14:textId="77777777" w:rsidR="009B15E1" w:rsidRPr="00117B19" w:rsidRDefault="009B15E1" w:rsidP="009B15E1">
            <w:pPr>
              <w:spacing w:before="60" w:after="60"/>
              <w:rPr>
                <w:sz w:val="22"/>
              </w:rPr>
            </w:pPr>
            <w:r w:rsidRPr="00117B19">
              <w:rPr>
                <w:sz w:val="22"/>
              </w:rPr>
              <w:t>2.2</w:t>
            </w:r>
          </w:p>
        </w:tc>
        <w:tc>
          <w:tcPr>
            <w:tcW w:w="1636" w:type="pct"/>
            <w:shd w:val="clear" w:color="auto" w:fill="auto"/>
          </w:tcPr>
          <w:p w14:paraId="13C03772" w14:textId="77777777" w:rsidR="009B15E1" w:rsidRDefault="009B15E1" w:rsidP="009B15E1">
            <w:pPr>
              <w:spacing w:before="60" w:after="60"/>
              <w:rPr>
                <w:sz w:val="22"/>
              </w:rPr>
            </w:pPr>
            <w:r w:rsidRPr="00117B19">
              <w:rPr>
                <w:sz w:val="22"/>
              </w:rPr>
              <w:t>Investing for the underserved</w:t>
            </w:r>
          </w:p>
          <w:p w14:paraId="501BD98B" w14:textId="77777777" w:rsidR="009B15E1" w:rsidRPr="00117B19" w:rsidRDefault="009B15E1" w:rsidP="009B15E1">
            <w:pPr>
              <w:spacing w:before="60" w:after="60"/>
              <w:rPr>
                <w:sz w:val="22"/>
              </w:rPr>
            </w:pPr>
            <w:r>
              <w:rPr>
                <w:sz w:val="22"/>
              </w:rPr>
              <w:t>(</w:t>
            </w:r>
            <w:r w:rsidRPr="00117B19">
              <w:rPr>
                <w:sz w:val="22"/>
              </w:rPr>
              <w:t>Total number (or $) of active grants designed to benefit the underserved / Total number of active grants (or $)</w:t>
            </w:r>
            <w:r>
              <w:rPr>
                <w:sz w:val="22"/>
              </w:rPr>
              <w:t>)</w:t>
            </w:r>
          </w:p>
        </w:tc>
        <w:tc>
          <w:tcPr>
            <w:tcW w:w="3066" w:type="pct"/>
          </w:tcPr>
          <w:p w14:paraId="53DA394A" w14:textId="7A9B949F" w:rsidR="006525FF" w:rsidRPr="00117B19" w:rsidRDefault="006525FF" w:rsidP="00252707">
            <w:pPr>
              <w:spacing w:before="60" w:after="60"/>
              <w:rPr>
                <w:sz w:val="22"/>
              </w:rPr>
            </w:pPr>
            <w:r w:rsidRPr="006525FF">
              <w:rPr>
                <w:sz w:val="22"/>
              </w:rPr>
              <w:t>This project has benefited population groups that have been underserved including</w:t>
            </w:r>
            <w:r>
              <w:rPr>
                <w:sz w:val="22"/>
              </w:rPr>
              <w:t xml:space="preserve"> </w:t>
            </w:r>
            <w:r w:rsidRPr="006525FF">
              <w:rPr>
                <w:sz w:val="22"/>
              </w:rPr>
              <w:t>PLHIV in rural and hard-to-reach areas</w:t>
            </w:r>
            <w:r>
              <w:rPr>
                <w:sz w:val="22"/>
              </w:rPr>
              <w:t>.</w:t>
            </w:r>
            <w:r w:rsidR="00252707">
              <w:rPr>
                <w:sz w:val="22"/>
              </w:rPr>
              <w:t xml:space="preserve"> </w:t>
            </w:r>
            <w:r w:rsidRPr="006525FF">
              <w:rPr>
                <w:sz w:val="22"/>
              </w:rPr>
              <w:t xml:space="preserve">It has improved access for populations, particularly through the </w:t>
            </w:r>
            <w:r>
              <w:rPr>
                <w:sz w:val="22"/>
              </w:rPr>
              <w:t>POC</w:t>
            </w:r>
            <w:r>
              <w:t xml:space="preserve"> and </w:t>
            </w:r>
            <w:r w:rsidRPr="006525FF">
              <w:rPr>
                <w:sz w:val="22"/>
              </w:rPr>
              <w:t xml:space="preserve">decentralised </w:t>
            </w:r>
            <w:r w:rsidR="00821DD6">
              <w:rPr>
                <w:sz w:val="22"/>
              </w:rPr>
              <w:t>approach</w:t>
            </w:r>
            <w:r w:rsidRPr="006525FF">
              <w:rPr>
                <w:sz w:val="22"/>
              </w:rPr>
              <w:t>.</w:t>
            </w:r>
          </w:p>
        </w:tc>
      </w:tr>
      <w:tr w:rsidR="009B15E1" w:rsidRPr="00117B19" w14:paraId="1871BF4F" w14:textId="77777777" w:rsidTr="00983A27">
        <w:tc>
          <w:tcPr>
            <w:tcW w:w="298" w:type="pct"/>
          </w:tcPr>
          <w:p w14:paraId="7CE3197A" w14:textId="77777777" w:rsidR="009B15E1" w:rsidRPr="00117B19" w:rsidRDefault="009B15E1" w:rsidP="009B15E1">
            <w:pPr>
              <w:spacing w:before="60" w:after="60"/>
              <w:rPr>
                <w:sz w:val="22"/>
                <w:szCs w:val="22"/>
              </w:rPr>
            </w:pPr>
            <w:r w:rsidRPr="00117B19">
              <w:rPr>
                <w:sz w:val="22"/>
                <w:szCs w:val="22"/>
              </w:rPr>
              <w:t>3</w:t>
            </w:r>
          </w:p>
        </w:tc>
        <w:tc>
          <w:tcPr>
            <w:tcW w:w="1636" w:type="pct"/>
            <w:shd w:val="clear" w:color="auto" w:fill="auto"/>
          </w:tcPr>
          <w:p w14:paraId="2F55470C" w14:textId="77777777" w:rsidR="009B15E1" w:rsidRDefault="009B15E1" w:rsidP="009B15E1">
            <w:pPr>
              <w:spacing w:before="60" w:after="60"/>
              <w:rPr>
                <w:sz w:val="22"/>
                <w:szCs w:val="22"/>
              </w:rPr>
            </w:pPr>
            <w:r w:rsidRPr="00117B19">
              <w:rPr>
                <w:sz w:val="22"/>
                <w:szCs w:val="22"/>
              </w:rPr>
              <w:t>Catalysing innovation</w:t>
            </w:r>
          </w:p>
          <w:p w14:paraId="75935639" w14:textId="791C5854" w:rsidR="009B15E1" w:rsidRPr="00117B19" w:rsidRDefault="009B15E1" w:rsidP="009B15E1">
            <w:pPr>
              <w:spacing w:before="60" w:after="60"/>
              <w:rPr>
                <w:sz w:val="22"/>
                <w:szCs w:val="22"/>
              </w:rPr>
            </w:pPr>
            <w:r>
              <w:rPr>
                <w:sz w:val="22"/>
                <w:szCs w:val="22"/>
              </w:rPr>
              <w:t>(</w:t>
            </w:r>
            <w:r w:rsidRPr="00117B19">
              <w:rPr>
                <w:sz w:val="22"/>
                <w:szCs w:val="22"/>
              </w:rPr>
              <w:t xml:space="preserve">Total number of </w:t>
            </w:r>
            <w:r w:rsidR="00B55E9C">
              <w:rPr>
                <w:sz w:val="22"/>
                <w:szCs w:val="22"/>
              </w:rPr>
              <w:t>Unitaid</w:t>
            </w:r>
            <w:r w:rsidRPr="00117B19">
              <w:rPr>
                <w:sz w:val="22"/>
                <w:szCs w:val="22"/>
              </w:rPr>
              <w:t>-supported products for which product development activities have been successfully completed</w:t>
            </w:r>
            <w:r>
              <w:rPr>
                <w:sz w:val="22"/>
                <w:szCs w:val="22"/>
              </w:rPr>
              <w:t>)</w:t>
            </w:r>
          </w:p>
        </w:tc>
        <w:tc>
          <w:tcPr>
            <w:tcW w:w="3066" w:type="pct"/>
          </w:tcPr>
          <w:p w14:paraId="027D3548" w14:textId="571F1764" w:rsidR="009B15E1" w:rsidRPr="00117B19" w:rsidRDefault="002704C1" w:rsidP="005A4D20">
            <w:pPr>
              <w:pStyle w:val="CEPATabletext"/>
              <w:rPr>
                <w:szCs w:val="22"/>
              </w:rPr>
            </w:pPr>
            <w:r>
              <w:t xml:space="preserve">The project has pilot-tested a number of new and innovative diagnostic platforms through new and innovative models of care. </w:t>
            </w:r>
          </w:p>
        </w:tc>
      </w:tr>
      <w:tr w:rsidR="009B15E1" w:rsidRPr="00117B19" w14:paraId="62994DBC" w14:textId="77777777" w:rsidTr="00983A27">
        <w:tc>
          <w:tcPr>
            <w:tcW w:w="298" w:type="pct"/>
          </w:tcPr>
          <w:p w14:paraId="5EC4FD5C" w14:textId="77777777" w:rsidR="009B15E1" w:rsidRPr="00117B19" w:rsidRDefault="009B15E1" w:rsidP="009B15E1">
            <w:pPr>
              <w:spacing w:before="60" w:after="60"/>
              <w:rPr>
                <w:sz w:val="22"/>
              </w:rPr>
            </w:pPr>
            <w:r w:rsidRPr="00117B19">
              <w:rPr>
                <w:sz w:val="22"/>
              </w:rPr>
              <w:t>4</w:t>
            </w:r>
          </w:p>
        </w:tc>
        <w:tc>
          <w:tcPr>
            <w:tcW w:w="1636" w:type="pct"/>
            <w:shd w:val="clear" w:color="auto" w:fill="auto"/>
          </w:tcPr>
          <w:p w14:paraId="4638A417" w14:textId="77777777" w:rsidR="009B15E1" w:rsidRDefault="009B15E1" w:rsidP="009B15E1">
            <w:pPr>
              <w:spacing w:before="60" w:after="60"/>
              <w:rPr>
                <w:sz w:val="22"/>
              </w:rPr>
            </w:pPr>
            <w:r w:rsidRPr="00117B19">
              <w:rPr>
                <w:sz w:val="22"/>
              </w:rPr>
              <w:t>Overcoming market barriers</w:t>
            </w:r>
          </w:p>
          <w:p w14:paraId="05FBCEE4" w14:textId="77777777" w:rsidR="009B15E1" w:rsidRPr="00117B19" w:rsidRDefault="009B15E1" w:rsidP="009B15E1">
            <w:pPr>
              <w:spacing w:before="60" w:after="60"/>
              <w:rPr>
                <w:sz w:val="22"/>
              </w:rPr>
            </w:pPr>
            <w:r>
              <w:rPr>
                <w:sz w:val="22"/>
              </w:rPr>
              <w:t>(</w:t>
            </w:r>
            <w:r w:rsidRPr="00117B19">
              <w:rPr>
                <w:sz w:val="22"/>
              </w:rPr>
              <w:t>Total number of critical access barriers overcome during the strategic period</w:t>
            </w:r>
            <w:r>
              <w:rPr>
                <w:sz w:val="22"/>
              </w:rPr>
              <w:t>)</w:t>
            </w:r>
          </w:p>
        </w:tc>
        <w:tc>
          <w:tcPr>
            <w:tcW w:w="3066" w:type="pct"/>
          </w:tcPr>
          <w:p w14:paraId="3AE0F164" w14:textId="5BB28554" w:rsidR="00C61A5A" w:rsidRPr="00117B19" w:rsidRDefault="000F77FD" w:rsidP="002704C1">
            <w:pPr>
              <w:pStyle w:val="CEPATabletext"/>
            </w:pPr>
            <w:r w:rsidRPr="000F77FD">
              <w:t>While the MSF project has contributed to addressing all access barriers, its fundamental contribution has been in terms of supporting demand for VL testing. At the global level, the project has contributed to WHO global policy and guidelines development. At the country level, there has been greater impact on national policies in Zimbabwe as compared to Malawi, reflecting varying degrees of engagement with policymakers and the number of partners simultaneously supporting VL testing in the respective countries. Demand has</w:t>
            </w:r>
            <w:r w:rsidR="002704C1">
              <w:t xml:space="preserve"> also</w:t>
            </w:r>
            <w:r w:rsidRPr="000F77FD">
              <w:t xml:space="preserve"> been facilitated by bringing the technologies closer to PLHIV, capacity building of health workers and engagement with civil society. Whilst this last aspect was an important part of the project, the extent of engagement has varied by country and may have been further enhanced had there been earlier engagement with CSOs through ITPC. The project has also contributed to </w:t>
            </w:r>
            <w:r w:rsidR="002704C1">
              <w:t>the supply and delivery of diagnostic platforms albeit on a pilot basis. Affo</w:t>
            </w:r>
            <w:r w:rsidRPr="000F77FD">
              <w:t>rdability remains an important access barrier.</w:t>
            </w:r>
          </w:p>
        </w:tc>
      </w:tr>
      <w:tr w:rsidR="009B15E1" w:rsidRPr="00117B19" w14:paraId="631C64EC" w14:textId="77777777" w:rsidTr="00983A27">
        <w:tc>
          <w:tcPr>
            <w:tcW w:w="298" w:type="pct"/>
          </w:tcPr>
          <w:p w14:paraId="2E481F48" w14:textId="77777777" w:rsidR="009B15E1" w:rsidRPr="00117B19" w:rsidRDefault="009B15E1" w:rsidP="009B15E1">
            <w:pPr>
              <w:spacing w:before="60" w:after="60"/>
              <w:rPr>
                <w:sz w:val="22"/>
              </w:rPr>
            </w:pPr>
            <w:r w:rsidRPr="00117B19">
              <w:rPr>
                <w:sz w:val="22"/>
              </w:rPr>
              <w:t>5.1</w:t>
            </w:r>
          </w:p>
        </w:tc>
        <w:tc>
          <w:tcPr>
            <w:tcW w:w="1636" w:type="pct"/>
            <w:shd w:val="clear" w:color="auto" w:fill="auto"/>
          </w:tcPr>
          <w:p w14:paraId="1FE4DBE8" w14:textId="77777777" w:rsidR="009B15E1" w:rsidRDefault="009B15E1" w:rsidP="009B15E1">
            <w:pPr>
              <w:spacing w:before="60" w:after="60"/>
              <w:rPr>
                <w:sz w:val="22"/>
              </w:rPr>
            </w:pPr>
            <w:r w:rsidRPr="00117B19">
              <w:rPr>
                <w:sz w:val="22"/>
              </w:rPr>
              <w:t>Securing funding</w:t>
            </w:r>
          </w:p>
          <w:p w14:paraId="29D52973" w14:textId="77777777" w:rsidR="009B15E1" w:rsidRPr="00117B19" w:rsidRDefault="009B15E1" w:rsidP="009B15E1">
            <w:pPr>
              <w:spacing w:before="60" w:after="60"/>
              <w:rPr>
                <w:sz w:val="22"/>
              </w:rPr>
            </w:pPr>
            <w:r>
              <w:rPr>
                <w:sz w:val="22"/>
              </w:rPr>
              <w:t>(</w:t>
            </w:r>
            <w:r w:rsidRPr="00117B19">
              <w:rPr>
                <w:sz w:val="22"/>
              </w:rPr>
              <w:t>Proportion (%) of project countries where future funding has been secured at grant closure through partners and countries</w:t>
            </w:r>
            <w:r>
              <w:rPr>
                <w:sz w:val="22"/>
              </w:rPr>
              <w:t>)</w:t>
            </w:r>
          </w:p>
        </w:tc>
        <w:tc>
          <w:tcPr>
            <w:tcW w:w="3066" w:type="pct"/>
            <w:vMerge w:val="restart"/>
          </w:tcPr>
          <w:p w14:paraId="3588FB45" w14:textId="17B68B2E" w:rsidR="009B15E1" w:rsidRPr="00117B19" w:rsidRDefault="000F77FD" w:rsidP="00983A27">
            <w:pPr>
              <w:pStyle w:val="CEPATabletext"/>
            </w:pPr>
            <w:r w:rsidRPr="000F77FD">
              <w:t>There has been varying experience across the MSF programmes in terms of extent of hand-over to the government and other donors, with some programmes still continuing to be delivered by MSF, although with certain services or approaches being adopted by the government. Sustainability of programmes continues to be a challenge in resource-limited settings, with some evidence of declining service provision post MSF hand-over. The main contribution of the project however has been its demonstration of proof of concept which has helped set the stage for longer term scalability of routine VL monitoring.</w:t>
            </w:r>
          </w:p>
        </w:tc>
      </w:tr>
      <w:tr w:rsidR="009B15E1" w:rsidRPr="00117B19" w14:paraId="517B3040" w14:textId="77777777" w:rsidTr="00983A27">
        <w:tc>
          <w:tcPr>
            <w:tcW w:w="298" w:type="pct"/>
          </w:tcPr>
          <w:p w14:paraId="5358B04A" w14:textId="77777777" w:rsidR="009B15E1" w:rsidRPr="00117B19" w:rsidRDefault="009B15E1" w:rsidP="009B15E1">
            <w:pPr>
              <w:spacing w:before="60" w:after="60"/>
              <w:rPr>
                <w:sz w:val="22"/>
              </w:rPr>
            </w:pPr>
            <w:r w:rsidRPr="00117B19">
              <w:rPr>
                <w:sz w:val="22"/>
              </w:rPr>
              <w:t>5.2</w:t>
            </w:r>
          </w:p>
        </w:tc>
        <w:tc>
          <w:tcPr>
            <w:tcW w:w="1636" w:type="pct"/>
            <w:shd w:val="clear" w:color="auto" w:fill="auto"/>
          </w:tcPr>
          <w:p w14:paraId="0C6FD8B5" w14:textId="77777777" w:rsidR="009B15E1" w:rsidRDefault="009B15E1" w:rsidP="009B15E1">
            <w:pPr>
              <w:spacing w:before="60" w:after="60"/>
              <w:rPr>
                <w:sz w:val="22"/>
              </w:rPr>
            </w:pPr>
            <w:r w:rsidRPr="00117B19">
              <w:rPr>
                <w:sz w:val="22"/>
              </w:rPr>
              <w:t>Scaling-up coverage</w:t>
            </w:r>
          </w:p>
          <w:p w14:paraId="39D958B8" w14:textId="77777777" w:rsidR="009B15E1" w:rsidRPr="00117B19" w:rsidRDefault="009B15E1" w:rsidP="009B15E1">
            <w:pPr>
              <w:spacing w:before="60" w:after="60"/>
              <w:rPr>
                <w:sz w:val="22"/>
              </w:rPr>
            </w:pPr>
            <w:r>
              <w:rPr>
                <w:sz w:val="22"/>
              </w:rPr>
              <w:t>(</w:t>
            </w:r>
            <w:r w:rsidRPr="00117B19">
              <w:rPr>
                <w:sz w:val="22"/>
              </w:rPr>
              <w:t>Additional number of people who benefit from a better health product or approach</w:t>
            </w:r>
            <w:r>
              <w:rPr>
                <w:sz w:val="22"/>
              </w:rPr>
              <w:t>)</w:t>
            </w:r>
          </w:p>
        </w:tc>
        <w:tc>
          <w:tcPr>
            <w:tcW w:w="3066" w:type="pct"/>
            <w:vMerge/>
          </w:tcPr>
          <w:p w14:paraId="7F82A184" w14:textId="61397438" w:rsidR="009B15E1" w:rsidRPr="00117B19" w:rsidRDefault="009B15E1" w:rsidP="00983A27">
            <w:pPr>
              <w:pStyle w:val="CEPATabletext"/>
            </w:pPr>
          </w:p>
        </w:tc>
      </w:tr>
    </w:tbl>
    <w:p w14:paraId="2FD38FD1" w14:textId="227D9C65" w:rsidR="00E7231A" w:rsidRDefault="00E7231A" w:rsidP="009B15E1">
      <w:pPr>
        <w:pStyle w:val="CEPAReportText"/>
      </w:pPr>
    </w:p>
    <w:p w14:paraId="47E584B7" w14:textId="77777777" w:rsidR="00E7231A" w:rsidRDefault="00E7231A">
      <w:pPr>
        <w:spacing w:after="160" w:line="259" w:lineRule="auto"/>
        <w:jc w:val="left"/>
      </w:pPr>
      <w:r>
        <w:br w:type="page"/>
      </w:r>
    </w:p>
    <w:p w14:paraId="05E3136B" w14:textId="77777777" w:rsidR="00E7231A" w:rsidRDefault="00E7231A" w:rsidP="009B15E1">
      <w:pPr>
        <w:pStyle w:val="CEPAReportText"/>
        <w:sectPr w:rsidR="00E7231A" w:rsidSect="00280C9A">
          <w:pgSz w:w="16838" w:h="11906" w:orient="landscape"/>
          <w:pgMar w:top="1440" w:right="1440" w:bottom="1440" w:left="1440" w:header="709" w:footer="709" w:gutter="0"/>
          <w:cols w:space="708"/>
          <w:docGrid w:linePitch="360"/>
        </w:sectPr>
      </w:pPr>
    </w:p>
    <w:p w14:paraId="58DA55E1" w14:textId="77777777" w:rsidR="00E7231A" w:rsidRDefault="00E7231A" w:rsidP="00E7231A">
      <w:pPr>
        <w:pStyle w:val="Heading7"/>
        <w:numPr>
          <w:ilvl w:val="0"/>
          <w:numId w:val="3"/>
        </w:numPr>
      </w:pPr>
      <w:bookmarkStart w:id="734" w:name="_Toc515359239"/>
      <w:r>
        <w:t>Public health impact analysis: results and background notes</w:t>
      </w:r>
      <w:bookmarkEnd w:id="734"/>
    </w:p>
    <w:p w14:paraId="4B1D81A3" w14:textId="2764A2FA" w:rsidR="00E7231A" w:rsidRDefault="00E7231A" w:rsidP="00E7231A">
      <w:pPr>
        <w:pStyle w:val="CEPAReportText"/>
      </w:pPr>
      <w:r>
        <w:t xml:space="preserve">This annex </w:t>
      </w:r>
      <w:r w:rsidR="00733401">
        <w:t>presents the p</w:t>
      </w:r>
      <w:r>
        <w:t xml:space="preserve">ublic health </w:t>
      </w:r>
      <w:r w:rsidR="00733401">
        <w:t xml:space="preserve">impact </w:t>
      </w:r>
      <w:r>
        <w:t xml:space="preserve">analysis including our approach and limitations as well as background data. </w:t>
      </w:r>
    </w:p>
    <w:p w14:paraId="46032F71" w14:textId="77777777" w:rsidR="00E7231A" w:rsidRPr="00131009" w:rsidRDefault="00E7231A" w:rsidP="00E7231A">
      <w:pPr>
        <w:keepNext/>
        <w:keepLines/>
        <w:numPr>
          <w:ilvl w:val="1"/>
          <w:numId w:val="3"/>
        </w:numPr>
        <w:tabs>
          <w:tab w:val="clear" w:pos="1440"/>
          <w:tab w:val="left" w:pos="357"/>
        </w:tabs>
        <w:spacing w:before="240" w:after="240"/>
        <w:outlineLvl w:val="7"/>
        <w:rPr>
          <w:rFonts w:asciiTheme="minorHAnsi" w:eastAsiaTheme="majorEastAsia" w:hAnsiTheme="minorHAnsi" w:cstheme="majorBidi"/>
          <w:b/>
          <w:color w:val="316EB9" w:themeColor="text1" w:themeTint="D8"/>
          <w:szCs w:val="21"/>
        </w:rPr>
      </w:pPr>
      <w:r>
        <w:rPr>
          <w:rFonts w:asciiTheme="minorHAnsi" w:eastAsiaTheme="majorEastAsia" w:hAnsiTheme="minorHAnsi" w:cstheme="majorBidi"/>
          <w:b/>
          <w:color w:val="316EB9" w:themeColor="text1" w:themeTint="D8"/>
          <w:szCs w:val="21"/>
        </w:rPr>
        <w:t>Approach and limitations</w:t>
      </w:r>
    </w:p>
    <w:p w14:paraId="033FEB1B" w14:textId="7B6F0101" w:rsidR="00E7231A" w:rsidRDefault="00E7231A" w:rsidP="00E7231A">
      <w:pPr>
        <w:pStyle w:val="CEPAReportText"/>
      </w:pPr>
      <w:r>
        <w:t xml:space="preserve">On the request of Unitaid, a brief indication of the direct and indirect public health impact of the project has been provided as part of this evaluation. In terms of the direct impact, this refers to the impact due to the project. The indirect impact is based on assumptions that project countries scale up VL testing to reach routine VL testing. This is a </w:t>
      </w:r>
      <w:r w:rsidR="0054179B">
        <w:t>rough</w:t>
      </w:r>
      <w:r>
        <w:t xml:space="preserve"> estimation based on academic sources and with limited project data (Section 3 presents the numerous challenges with the project M&amp;E data). It has also been conducted through a rapid desk-based review and may not comprehensively reflect all relevant academic sources and approaches to estimation. </w:t>
      </w:r>
      <w:r w:rsidRPr="00697372">
        <w:rPr>
          <w:b/>
        </w:rPr>
        <w:t>As such, this data should be interpreted with caution as it is based on crude data and assumptions.</w:t>
      </w:r>
      <w:r>
        <w:t xml:space="preserve"> </w:t>
      </w:r>
    </w:p>
    <w:p w14:paraId="462B113F" w14:textId="762F2112" w:rsidR="00E7231A" w:rsidRDefault="00E7231A" w:rsidP="00E7231A">
      <w:pPr>
        <w:pStyle w:val="CEPAReportText"/>
      </w:pPr>
      <w:r>
        <w:t>Although VL testing is recommended for ART monitoring by the WHO, the evidence regarding the effect on mortality is not conclusive.</w:t>
      </w:r>
      <w:r>
        <w:rPr>
          <w:rStyle w:val="FootnoteReference"/>
        </w:rPr>
        <w:footnoteReference w:id="136"/>
      </w:r>
      <w:r>
        <w:t xml:space="preserve"> A systematic review conducted by Tucker et al (2014) concluded that VL monitoring was associated with shorter duration of viremia and higher rates of switching to more effective second line treatment, but an impact on mortality was not consistently shown.</w:t>
      </w:r>
      <w:r>
        <w:rPr>
          <w:rStyle w:val="FootnoteReference"/>
        </w:rPr>
        <w:footnoteReference w:id="137"/>
      </w:r>
      <w:r>
        <w:t xml:space="preserve"> Essentially, VL monitoring as a quality of care monitoring intervention can, but may not, lead to improved clinical outcomes directly, but rather indirectly, dependent on follow up actions based on VL test results. In addition, due to the recent scale up of VL testing, few studies have been able to estimate the health impact. That said, o</w:t>
      </w:r>
      <w:r w:rsidRPr="00955BEC">
        <w:t>ne of the few studies which compared mortality with and without routine VL testing by Keiser et al</w:t>
      </w:r>
      <w:r>
        <w:t xml:space="preserve"> (2011)</w:t>
      </w:r>
      <w:r w:rsidRPr="00955BEC">
        <w:t xml:space="preserve"> found a mortality benefit following three years of intervention at ART sites that used VL monitoring.</w:t>
      </w:r>
      <w:r>
        <w:rPr>
          <w:rStyle w:val="FootnoteReference"/>
        </w:rPr>
        <w:footnoteReference w:id="138"/>
      </w:r>
      <w:r>
        <w:t xml:space="preserve"> </w:t>
      </w:r>
    </w:p>
    <w:p w14:paraId="7D417EB1" w14:textId="1B59BB85" w:rsidR="00E7231A" w:rsidRDefault="00E7231A" w:rsidP="00E7231A">
      <w:pPr>
        <w:pStyle w:val="CEPAReportText"/>
      </w:pPr>
      <w:r>
        <w:t xml:space="preserve">As such, there are significant challenges in the applicability of both the metrics available in the literature (e.g. due to its inconclusive nature, not being up to date) and in the use of project data. These limitations, together with considerable assumptions that have been applied </w:t>
      </w:r>
      <w:r w:rsidR="003A23A7">
        <w:t xml:space="preserve">in our analysis </w:t>
      </w:r>
      <w:r>
        <w:t xml:space="preserve">are summarised in Table </w:t>
      </w:r>
      <w:r w:rsidRPr="00E43DEE">
        <w:t>J.1.</w:t>
      </w:r>
      <w:r>
        <w:t xml:space="preserve"> </w:t>
      </w:r>
    </w:p>
    <w:p w14:paraId="35F29A97" w14:textId="77777777" w:rsidR="003A23A7" w:rsidRDefault="003A23A7">
      <w:pPr>
        <w:spacing w:after="160" w:line="259" w:lineRule="auto"/>
        <w:jc w:val="left"/>
        <w:rPr>
          <w:i/>
          <w:sz w:val="22"/>
        </w:rPr>
      </w:pPr>
      <w:r>
        <w:br w:type="page"/>
      </w:r>
    </w:p>
    <w:p w14:paraId="0C6CD032" w14:textId="1999A243" w:rsidR="00E7231A" w:rsidRPr="00280D5E" w:rsidRDefault="00E7231A" w:rsidP="00E7231A">
      <w:pPr>
        <w:pStyle w:val="CEPADiagramLabel"/>
      </w:pPr>
      <w:r>
        <w:t>Table J.1.: Data challenges and assumptions</w:t>
      </w:r>
    </w:p>
    <w:tbl>
      <w:tblPr>
        <w:tblStyle w:val="TableGrid"/>
        <w:tblW w:w="495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390"/>
        <w:gridCol w:w="4536"/>
      </w:tblGrid>
      <w:tr w:rsidR="00E7231A" w14:paraId="47F19930" w14:textId="77777777" w:rsidTr="00FC39D5">
        <w:trPr>
          <w:tblHeader/>
        </w:trPr>
        <w:tc>
          <w:tcPr>
            <w:tcW w:w="2459" w:type="pct"/>
            <w:shd w:val="solid" w:color="4B86CD" w:fill="auto"/>
          </w:tcPr>
          <w:p w14:paraId="457BC144" w14:textId="77777777" w:rsidR="00E7231A" w:rsidRPr="00280D5E" w:rsidRDefault="00E7231A" w:rsidP="00FC39D5">
            <w:pPr>
              <w:pStyle w:val="CEPATabletext"/>
              <w:rPr>
                <w:b/>
                <w:color w:val="FFFFFF"/>
              </w:rPr>
            </w:pPr>
            <w:r>
              <w:rPr>
                <w:b/>
                <w:color w:val="FFFFFF"/>
              </w:rPr>
              <w:t>Limitation/ challenge with data</w:t>
            </w:r>
          </w:p>
        </w:tc>
        <w:tc>
          <w:tcPr>
            <w:tcW w:w="2541" w:type="pct"/>
            <w:shd w:val="solid" w:color="4B86CD" w:fill="auto"/>
          </w:tcPr>
          <w:p w14:paraId="37B222E6" w14:textId="77777777" w:rsidR="00E7231A" w:rsidRPr="00280D5E" w:rsidRDefault="00E7231A" w:rsidP="00FC39D5">
            <w:pPr>
              <w:pStyle w:val="CEPATabletext"/>
              <w:rPr>
                <w:b/>
                <w:color w:val="FFFFFF"/>
              </w:rPr>
            </w:pPr>
            <w:r>
              <w:rPr>
                <w:b/>
                <w:color w:val="FFFFFF"/>
              </w:rPr>
              <w:t>Assumption/ response</w:t>
            </w:r>
          </w:p>
        </w:tc>
      </w:tr>
      <w:tr w:rsidR="00E7231A" w14:paraId="6AA22CBE" w14:textId="77777777" w:rsidTr="005C66DB">
        <w:tc>
          <w:tcPr>
            <w:tcW w:w="5000" w:type="pct"/>
            <w:gridSpan w:val="2"/>
            <w:shd w:val="clear" w:color="auto" w:fill="949494" w:themeFill="accent5" w:themeFillShade="BF"/>
          </w:tcPr>
          <w:p w14:paraId="1A8E92CB" w14:textId="77777777" w:rsidR="00E7231A" w:rsidRDefault="00E7231A" w:rsidP="00FC39D5">
            <w:pPr>
              <w:pStyle w:val="CEPATabletext"/>
            </w:pPr>
            <w:r w:rsidRPr="00161489">
              <w:rPr>
                <w:b/>
                <w:color w:val="FFFFFF" w:themeColor="background1"/>
              </w:rPr>
              <w:t>Literature Data</w:t>
            </w:r>
          </w:p>
        </w:tc>
      </w:tr>
      <w:tr w:rsidR="00E7231A" w14:paraId="5C8A4B3E" w14:textId="77777777" w:rsidTr="00FC39D5">
        <w:tc>
          <w:tcPr>
            <w:tcW w:w="2459" w:type="pct"/>
          </w:tcPr>
          <w:p w14:paraId="6A9B5B4C" w14:textId="77777777" w:rsidR="00E7231A" w:rsidRDefault="00E7231A" w:rsidP="00FC39D5">
            <w:pPr>
              <w:pStyle w:val="CEPATabletext"/>
            </w:pPr>
            <w:r w:rsidRPr="00121DB4">
              <w:t>Limited evidence available</w:t>
            </w:r>
            <w:r>
              <w:t>, both in terms of quantity and scale of studies, which may also be reflective of the only recent change (2013) in WHO guidelines to specify VL monitoring.  There  is a</w:t>
            </w:r>
            <w:r w:rsidRPr="00121DB4">
              <w:t xml:space="preserve"> limited generali</w:t>
            </w:r>
            <w:r>
              <w:t>z</w:t>
            </w:r>
            <w:r w:rsidRPr="00121DB4">
              <w:t xml:space="preserve">ability of the </w:t>
            </w:r>
            <w:r>
              <w:t>existing study findings.</w:t>
            </w:r>
          </w:p>
        </w:tc>
        <w:tc>
          <w:tcPr>
            <w:tcW w:w="2541" w:type="pct"/>
          </w:tcPr>
          <w:p w14:paraId="650A707D" w14:textId="77777777" w:rsidR="00E7231A" w:rsidRDefault="00E7231A" w:rsidP="00FC39D5">
            <w:pPr>
              <w:pStyle w:val="CEPATabletext"/>
            </w:pPr>
            <w:r>
              <w:t>Metrics taken from the literature have been noted in the data sources and some have been applied crudely in our analysis.</w:t>
            </w:r>
          </w:p>
        </w:tc>
      </w:tr>
      <w:tr w:rsidR="00E7231A" w14:paraId="4693A612" w14:textId="77777777" w:rsidTr="00FC39D5">
        <w:tc>
          <w:tcPr>
            <w:tcW w:w="2459" w:type="pct"/>
          </w:tcPr>
          <w:p w14:paraId="40756F93" w14:textId="77777777" w:rsidR="00E7231A" w:rsidRDefault="00E7231A" w:rsidP="00FC39D5">
            <w:pPr>
              <w:pStyle w:val="CEPATabletext"/>
            </w:pPr>
            <w:r>
              <w:t>Varying l</w:t>
            </w:r>
            <w:r w:rsidRPr="0066799D">
              <w:t>evel of routine VL coverage achieved in the studies</w:t>
            </w:r>
            <w:r>
              <w:t>,</w:t>
            </w:r>
            <w:r w:rsidRPr="0066799D">
              <w:t xml:space="preserve">  </w:t>
            </w:r>
            <w:r>
              <w:t xml:space="preserve">varying </w:t>
            </w:r>
            <w:r w:rsidRPr="0066799D">
              <w:t>definition</w:t>
            </w:r>
            <w:r>
              <w:t>s</w:t>
            </w:r>
            <w:r w:rsidRPr="0066799D">
              <w:t xml:space="preserve"> of </w:t>
            </w:r>
            <w:r>
              <w:t>“</w:t>
            </w:r>
            <w:r w:rsidRPr="0066799D">
              <w:t>VL coverage</w:t>
            </w:r>
            <w:r>
              <w:t>”</w:t>
            </w:r>
            <w:r w:rsidRPr="0066799D">
              <w:t xml:space="preserve"> used</w:t>
            </w:r>
            <w:r>
              <w:t>, and in the level of specific data provided e.g. percentage of VL coverage assumed under ‘routine testing’; number of VL test patients receive in specific settings.</w:t>
            </w:r>
          </w:p>
        </w:tc>
        <w:tc>
          <w:tcPr>
            <w:tcW w:w="2541" w:type="pct"/>
          </w:tcPr>
          <w:p w14:paraId="74464360" w14:textId="77777777" w:rsidR="00E7231A" w:rsidRDefault="00E7231A" w:rsidP="00FC39D5">
            <w:pPr>
              <w:pStyle w:val="CEPATabletext"/>
            </w:pPr>
            <w:r>
              <w:t xml:space="preserve">We have assumed ‘routine viral load coverage’ to mean 100% of the PLHIV on ART, unless stated otherwise, and that the number of tests received to be similar to those in South Africa as noted in the Keiser et al (2011) study. </w:t>
            </w:r>
          </w:p>
        </w:tc>
      </w:tr>
      <w:tr w:rsidR="00E7231A" w14:paraId="718CA580" w14:textId="77777777" w:rsidTr="00FC39D5">
        <w:tc>
          <w:tcPr>
            <w:tcW w:w="2459" w:type="pct"/>
          </w:tcPr>
          <w:p w14:paraId="2956E578" w14:textId="77777777" w:rsidR="00E7231A" w:rsidRDefault="00E7231A" w:rsidP="00FC39D5">
            <w:pPr>
              <w:pStyle w:val="CEPATabletext"/>
            </w:pPr>
            <w:r>
              <w:t>Health outcome data on morbidity and mortality is very limited, due in part because of the short timeframe following routine VL coverage that has been achieved in some LMIC settings. It is also particularly difficult to accurately measure mortality rate given the high rates of patients lost to follow up, and due to a range of confounding factors such as urban/ rural location, gender, age etc. which may affect both  morbidity and mortality. Second line regimen is evolving and therefore studies showing impact on mortality may also be outdated.</w:t>
            </w:r>
          </w:p>
        </w:tc>
        <w:tc>
          <w:tcPr>
            <w:tcW w:w="2541" w:type="pct"/>
          </w:tcPr>
          <w:p w14:paraId="05ADF9C6" w14:textId="77777777" w:rsidR="00E7231A" w:rsidRDefault="00E7231A" w:rsidP="00FC39D5">
            <w:pPr>
              <w:pStyle w:val="CEPATabletext"/>
            </w:pPr>
            <w:r>
              <w:t xml:space="preserve">We consider the Keiser et al (2011) study to provide the most appropriate metrics for the basis for our mortality estimates. </w:t>
            </w:r>
          </w:p>
          <w:p w14:paraId="7E53D7D9" w14:textId="77777777" w:rsidR="00E7231A" w:rsidRDefault="00E7231A" w:rsidP="00FC39D5">
            <w:pPr>
              <w:pStyle w:val="CEPATabletext"/>
            </w:pPr>
            <w:r>
              <w:t xml:space="preserve">Where the specific health impact is known through project data (e.g. through changing from first to second line regimen, this impact has been calculated. </w:t>
            </w:r>
          </w:p>
        </w:tc>
      </w:tr>
      <w:tr w:rsidR="00E7231A" w14:paraId="2F242273" w14:textId="77777777" w:rsidTr="00FC39D5">
        <w:tc>
          <w:tcPr>
            <w:tcW w:w="2459" w:type="pct"/>
          </w:tcPr>
          <w:p w14:paraId="3BB62180" w14:textId="77777777" w:rsidR="00E7231A" w:rsidRDefault="00E7231A" w:rsidP="00FC39D5">
            <w:pPr>
              <w:pStyle w:val="CEPATabletext"/>
            </w:pPr>
            <w:r>
              <w:t xml:space="preserve">A number of factors that are not possible to control for including the changing nature of the epidemic (e.g. ART resistance); HIV response (e.g drugs available, treatment regimens in place) and broader health system factors </w:t>
            </w:r>
          </w:p>
        </w:tc>
        <w:tc>
          <w:tcPr>
            <w:tcW w:w="2541" w:type="pct"/>
          </w:tcPr>
          <w:p w14:paraId="55300B08" w14:textId="77777777" w:rsidR="00E7231A" w:rsidRDefault="00E7231A" w:rsidP="00FC39D5">
            <w:pPr>
              <w:pStyle w:val="CEPATabletext"/>
            </w:pPr>
            <w:r>
              <w:t>We have not factored these aspects into the analysis.</w:t>
            </w:r>
          </w:p>
        </w:tc>
      </w:tr>
      <w:tr w:rsidR="00E7231A" w14:paraId="79A61DB5" w14:textId="77777777" w:rsidTr="005C66DB">
        <w:tc>
          <w:tcPr>
            <w:tcW w:w="5000" w:type="pct"/>
            <w:gridSpan w:val="2"/>
            <w:shd w:val="clear" w:color="auto" w:fill="949494" w:themeFill="accent5" w:themeFillShade="BF"/>
          </w:tcPr>
          <w:p w14:paraId="184A68E0" w14:textId="77777777" w:rsidR="00E7231A" w:rsidRPr="00845E7C" w:rsidRDefault="00E7231A" w:rsidP="00FC39D5">
            <w:pPr>
              <w:pStyle w:val="CEPATabletext"/>
              <w:rPr>
                <w:b/>
              </w:rPr>
            </w:pPr>
            <w:r w:rsidRPr="00845E7C">
              <w:rPr>
                <w:b/>
                <w:color w:val="FFFFFF" w:themeColor="background1"/>
              </w:rPr>
              <w:t>Project data</w:t>
            </w:r>
          </w:p>
        </w:tc>
      </w:tr>
      <w:tr w:rsidR="00E7231A" w14:paraId="2639296E" w14:textId="77777777" w:rsidTr="00FC39D5">
        <w:tc>
          <w:tcPr>
            <w:tcW w:w="2459" w:type="pct"/>
          </w:tcPr>
          <w:p w14:paraId="74CE9BC4" w14:textId="77777777" w:rsidR="00E7231A" w:rsidRDefault="00E7231A" w:rsidP="00FC39D5">
            <w:pPr>
              <w:pStyle w:val="CEPATabletext"/>
            </w:pPr>
            <w:r w:rsidRPr="00121DB4">
              <w:t xml:space="preserve">Baseline </w:t>
            </w:r>
            <w:r>
              <w:t xml:space="preserve">coverage rates have not been provided (except for South Africa) and ‘current’ VL coverage rates vary depending on project site (e.g. Thyolo the latest data was 2015, other sites may have more recent data). </w:t>
            </w:r>
          </w:p>
        </w:tc>
        <w:tc>
          <w:tcPr>
            <w:tcW w:w="2541" w:type="pct"/>
          </w:tcPr>
          <w:p w14:paraId="353AA783" w14:textId="77777777" w:rsidR="00E7231A" w:rsidRDefault="00E7231A" w:rsidP="00FC39D5">
            <w:pPr>
              <w:pStyle w:val="CEPATabletext"/>
            </w:pPr>
            <w:r>
              <w:t>W</w:t>
            </w:r>
            <w:r w:rsidRPr="00121DB4">
              <w:t xml:space="preserve">e have assumed </w:t>
            </w:r>
            <w:r>
              <w:t xml:space="preserve">baseline coverage </w:t>
            </w:r>
            <w:r w:rsidRPr="00121DB4">
              <w:t xml:space="preserve"> to be 0%. We have assumed the 2015 coverage rates from the </w:t>
            </w:r>
            <w:r w:rsidRPr="00121DB4">
              <w:rPr>
                <w:i/>
              </w:rPr>
              <w:t>Making Viral Load Routine</w:t>
            </w:r>
            <w:r w:rsidRPr="00121DB4">
              <w:t xml:space="preserve"> report to be </w:t>
            </w:r>
            <w:r>
              <w:t>‘at project close’</w:t>
            </w:r>
          </w:p>
        </w:tc>
      </w:tr>
      <w:tr w:rsidR="00E7231A" w14:paraId="13E773F0" w14:textId="77777777" w:rsidTr="00FC39D5">
        <w:tc>
          <w:tcPr>
            <w:tcW w:w="2459" w:type="pct"/>
          </w:tcPr>
          <w:p w14:paraId="79F71675" w14:textId="77777777" w:rsidR="00E7231A" w:rsidRDefault="00E7231A" w:rsidP="00FC39D5">
            <w:pPr>
              <w:pStyle w:val="CEPATabletext"/>
            </w:pPr>
            <w:r>
              <w:t xml:space="preserve">The </w:t>
            </w:r>
            <w:r w:rsidRPr="0066799D">
              <w:t>total number of tests</w:t>
            </w:r>
            <w:r>
              <w:t xml:space="preserve"> conducted over the course of the project does not stipulate the number of tests conducted per PLHIV.</w:t>
            </w:r>
          </w:p>
        </w:tc>
        <w:tc>
          <w:tcPr>
            <w:tcW w:w="2541" w:type="pct"/>
          </w:tcPr>
          <w:p w14:paraId="17257ADF" w14:textId="77777777" w:rsidR="00E7231A" w:rsidRDefault="00E7231A" w:rsidP="00FC39D5">
            <w:pPr>
              <w:pStyle w:val="CEPATabletext"/>
            </w:pPr>
            <w:r>
              <w:t xml:space="preserve">Data from </w:t>
            </w:r>
            <w:r w:rsidRPr="00121DB4">
              <w:rPr>
                <w:i/>
              </w:rPr>
              <w:t>Making Viral Load Routine</w:t>
            </w:r>
            <w:r>
              <w:rPr>
                <w:i/>
              </w:rPr>
              <w:t xml:space="preserve"> </w:t>
            </w:r>
            <w:r w:rsidRPr="0066799D">
              <w:t xml:space="preserve">report has been used as it stipulates coverage </w:t>
            </w:r>
            <w:r>
              <w:t>of routine VL testing within ART cohorts. However, it is noted this data is slightly outdated (2015).</w:t>
            </w:r>
          </w:p>
        </w:tc>
      </w:tr>
      <w:tr w:rsidR="00E7231A" w14:paraId="34517F5F" w14:textId="77777777" w:rsidTr="00FC39D5">
        <w:tc>
          <w:tcPr>
            <w:tcW w:w="2459" w:type="pct"/>
          </w:tcPr>
          <w:p w14:paraId="31577722" w14:textId="77777777" w:rsidR="00E7231A" w:rsidRPr="0066799D" w:rsidRDefault="00E7231A" w:rsidP="00FC39D5">
            <w:pPr>
              <w:pStyle w:val="CEPATabletext"/>
            </w:pPr>
            <w:r>
              <w:t>Tests are not disaggregated by (i) children/  adults or by (ii) POC vs not POC which has implications on the public health impact.</w:t>
            </w:r>
          </w:p>
        </w:tc>
        <w:tc>
          <w:tcPr>
            <w:tcW w:w="2541" w:type="pct"/>
          </w:tcPr>
          <w:p w14:paraId="03822EFE" w14:textId="77777777" w:rsidR="00E7231A" w:rsidRDefault="00E7231A" w:rsidP="00FC39D5">
            <w:pPr>
              <w:pStyle w:val="CEPATabletext"/>
            </w:pPr>
            <w:r>
              <w:t>We have assumed impact on morbidity and mortality to be consistent across population receiving VL monitoring and device used for the monitoring.</w:t>
            </w:r>
          </w:p>
        </w:tc>
      </w:tr>
      <w:tr w:rsidR="00E7231A" w14:paraId="537E1B8F" w14:textId="77777777" w:rsidTr="00FC39D5">
        <w:tc>
          <w:tcPr>
            <w:tcW w:w="2459" w:type="pct"/>
          </w:tcPr>
          <w:p w14:paraId="359022B9" w14:textId="77777777" w:rsidR="00E7231A" w:rsidRDefault="00E7231A" w:rsidP="00FC39D5">
            <w:pPr>
              <w:pStyle w:val="CEPATabletext"/>
            </w:pPr>
            <w:r>
              <w:t>Baseline and endline data on deaths and new infections has not been measured.</w:t>
            </w:r>
          </w:p>
        </w:tc>
        <w:tc>
          <w:tcPr>
            <w:tcW w:w="2541" w:type="pct"/>
          </w:tcPr>
          <w:p w14:paraId="7590EA6C" w14:textId="77777777" w:rsidR="00E7231A" w:rsidRDefault="00E7231A" w:rsidP="00FC39D5">
            <w:pPr>
              <w:pStyle w:val="CEPATabletext"/>
            </w:pPr>
            <w:r>
              <w:t xml:space="preserve">Additional deaths averted has been estimated where possible; it has not been possible to confidently estimate new infections averted. </w:t>
            </w:r>
          </w:p>
        </w:tc>
      </w:tr>
      <w:tr w:rsidR="00E7231A" w14:paraId="38CEA179" w14:textId="77777777" w:rsidTr="00FC39D5">
        <w:tc>
          <w:tcPr>
            <w:tcW w:w="2459" w:type="pct"/>
          </w:tcPr>
          <w:p w14:paraId="27F40D33" w14:textId="77777777" w:rsidR="00E7231A" w:rsidRDefault="00E7231A" w:rsidP="00FC39D5">
            <w:pPr>
              <w:pStyle w:val="CEPATabletext"/>
            </w:pPr>
            <w:r>
              <w:t>Regarding indirect impact, scale up of VL testing, as well as follow up actions based on the VL testing will vary considerably by country, and within countries with timeframes being extremely uncertain.</w:t>
            </w:r>
          </w:p>
        </w:tc>
        <w:tc>
          <w:tcPr>
            <w:tcW w:w="2541" w:type="pct"/>
          </w:tcPr>
          <w:p w14:paraId="58AB259B" w14:textId="77777777" w:rsidR="00E7231A" w:rsidRDefault="00E7231A" w:rsidP="00FC39D5">
            <w:pPr>
              <w:pStyle w:val="CEPATabletext"/>
            </w:pPr>
            <w:r>
              <w:t xml:space="preserve">We have assumed ‘scale up’ to be equal to that achieved in routine VL coverage in South Africa. </w:t>
            </w:r>
          </w:p>
        </w:tc>
      </w:tr>
    </w:tbl>
    <w:p w14:paraId="519A8061" w14:textId="77777777" w:rsidR="00E7231A" w:rsidRDefault="00E7231A" w:rsidP="00E7231A">
      <w:pPr>
        <w:pStyle w:val="Heading8"/>
        <w:numPr>
          <w:ilvl w:val="1"/>
          <w:numId w:val="3"/>
        </w:numPr>
      </w:pPr>
      <w:r w:rsidRPr="00E066A9">
        <w:t>Direct impact</w:t>
      </w:r>
      <w:r>
        <w:t xml:space="preserve"> estimates</w:t>
      </w:r>
    </w:p>
    <w:p w14:paraId="252A977C" w14:textId="67730F32" w:rsidR="003A23A7" w:rsidRPr="003A23A7" w:rsidRDefault="003A23A7" w:rsidP="003A23A7">
      <w:pPr>
        <w:pStyle w:val="CEPAReportText"/>
      </w:pPr>
      <w:r>
        <w:t>Direct impact estimates are presented below in terms of deaths averted from: (i) switching to 2</w:t>
      </w:r>
      <w:r w:rsidRPr="003A23A7">
        <w:rPr>
          <w:vertAlign w:val="superscript"/>
        </w:rPr>
        <w:t>nd</w:t>
      </w:r>
      <w:r>
        <w:t xml:space="preserve"> line treatment; and (ii) due to increasing VL coverage more generally. </w:t>
      </w:r>
      <w:r>
        <w:rPr>
          <w:rFonts w:eastAsiaTheme="majorEastAsia"/>
        </w:rPr>
        <w:t xml:space="preserve">Please note that the estimates are not comparable as we are using different data sets. </w:t>
      </w:r>
    </w:p>
    <w:p w14:paraId="29BF4E34" w14:textId="09E34F46" w:rsidR="00E7231A" w:rsidRPr="003A23A7" w:rsidRDefault="00E7231A" w:rsidP="003A23A7">
      <w:pPr>
        <w:pStyle w:val="CEPAReportText"/>
        <w:rPr>
          <w:rFonts w:eastAsiaTheme="majorEastAsia"/>
          <w:i/>
        </w:rPr>
      </w:pPr>
      <w:r w:rsidRPr="003A23A7">
        <w:rPr>
          <w:rFonts w:eastAsiaTheme="majorEastAsia"/>
          <w:i/>
        </w:rPr>
        <w:t xml:space="preserve">Number of additional deaths averted at one year from switching to 2nd line treatment </w:t>
      </w:r>
    </w:p>
    <w:p w14:paraId="2B27EBD2" w14:textId="2BF24F92" w:rsidR="00E7231A" w:rsidRDefault="00E7231A" w:rsidP="00E7231A">
      <w:pPr>
        <w:pStyle w:val="CEPAReportText"/>
        <w:rPr>
          <w:rFonts w:eastAsiaTheme="majorEastAsia"/>
        </w:rPr>
      </w:pPr>
      <w:r w:rsidRPr="00302567">
        <w:rPr>
          <w:rFonts w:eastAsiaTheme="majorEastAsia"/>
        </w:rPr>
        <w:t xml:space="preserve">Based on a study by Keiser et al. (2010) assessing the mortality at one year of patients switching to second-line treatment (4.2%), in comparison to those who remained failing first-line regimen (11.7%) in sub-Saharan Africa, it can be estimated that there were 363 deaths averted at one year due to 4,839 people </w:t>
      </w:r>
      <w:r>
        <w:rPr>
          <w:rFonts w:eastAsiaTheme="majorEastAsia"/>
        </w:rPr>
        <w:t xml:space="preserve">noted in the end of project report as </w:t>
      </w:r>
      <w:r w:rsidRPr="00302567">
        <w:rPr>
          <w:rFonts w:eastAsiaTheme="majorEastAsia"/>
        </w:rPr>
        <w:t xml:space="preserve">switching to second-line treatment during the </w:t>
      </w:r>
      <w:r>
        <w:rPr>
          <w:rFonts w:eastAsiaTheme="majorEastAsia"/>
        </w:rPr>
        <w:t xml:space="preserve">course of the </w:t>
      </w:r>
      <w:r w:rsidRPr="00302567">
        <w:rPr>
          <w:rFonts w:eastAsiaTheme="majorEastAsia"/>
        </w:rPr>
        <w:t>project.</w:t>
      </w:r>
      <w:r>
        <w:rPr>
          <w:rStyle w:val="FootnoteReference"/>
          <w:rFonts w:eastAsiaTheme="majorEastAsia"/>
        </w:rPr>
        <w:footnoteReference w:id="139"/>
      </w:r>
      <w:r w:rsidR="0054179B">
        <w:rPr>
          <w:rFonts w:eastAsiaTheme="majorEastAsia"/>
        </w:rPr>
        <w:t xml:space="preserve"> This estimate has been derived </w:t>
      </w:r>
      <w:r w:rsidR="003A23A7">
        <w:rPr>
          <w:rFonts w:eastAsiaTheme="majorEastAsia"/>
        </w:rPr>
        <w:t>by</w:t>
      </w:r>
      <w:r w:rsidR="0054179B">
        <w:rPr>
          <w:rFonts w:eastAsiaTheme="majorEastAsia"/>
        </w:rPr>
        <w:t xml:space="preserve"> multiplying the number of people switched to second-line treatment by the difference in mortality of remaining on first-line treatment (11.7%) and switching (4.2%).</w:t>
      </w:r>
    </w:p>
    <w:p w14:paraId="358EA358" w14:textId="2C8A6C6E" w:rsidR="00E7231A" w:rsidRPr="003A23A7" w:rsidRDefault="00E7231A" w:rsidP="003A23A7">
      <w:pPr>
        <w:pStyle w:val="CEPAReportText"/>
        <w:rPr>
          <w:rFonts w:eastAsiaTheme="majorEastAsia"/>
          <w:i/>
        </w:rPr>
      </w:pPr>
      <w:r w:rsidRPr="003A23A7">
        <w:rPr>
          <w:rFonts w:eastAsiaTheme="majorEastAsia"/>
          <w:i/>
        </w:rPr>
        <w:t>Number of additional deaths averted due to increasing VL testing coverage</w:t>
      </w:r>
    </w:p>
    <w:p w14:paraId="3C1D2875" w14:textId="78D01D24" w:rsidR="00E7231A" w:rsidRDefault="00E7231A" w:rsidP="00E7231A">
      <w:pPr>
        <w:pStyle w:val="CEPAReportText"/>
        <w:rPr>
          <w:rFonts w:eastAsiaTheme="majorEastAsia"/>
        </w:rPr>
      </w:pPr>
      <w:r w:rsidRPr="005776FE">
        <w:rPr>
          <w:rFonts w:eastAsiaTheme="majorEastAsia"/>
        </w:rPr>
        <w:t>Keiser et al (2011) note the benefits from routine VL monitoring beyond just switching to second-line treatment, and that at three years post routine VL coverage, 4.3% (CI 3.9</w:t>
      </w:r>
      <w:r w:rsidR="00336FE8">
        <w:rPr>
          <w:rFonts w:eastAsiaTheme="majorEastAsia"/>
        </w:rPr>
        <w:t xml:space="preserve"> </w:t>
      </w:r>
      <w:r w:rsidRPr="005776FE">
        <w:rPr>
          <w:rFonts w:eastAsiaTheme="majorEastAsia"/>
        </w:rPr>
        <w:t>–</w:t>
      </w:r>
      <w:r w:rsidR="00336FE8">
        <w:rPr>
          <w:rFonts w:eastAsiaTheme="majorEastAsia"/>
        </w:rPr>
        <w:t xml:space="preserve"> </w:t>
      </w:r>
      <w:r w:rsidRPr="005776FE">
        <w:rPr>
          <w:rFonts w:eastAsiaTheme="majorEastAsia"/>
        </w:rPr>
        <w:t>4.8%) had died in comparison to 6.3% (CI 6.0</w:t>
      </w:r>
      <w:r w:rsidR="00336FE8">
        <w:rPr>
          <w:rFonts w:eastAsiaTheme="majorEastAsia"/>
        </w:rPr>
        <w:t xml:space="preserve"> </w:t>
      </w:r>
      <w:r w:rsidRPr="005776FE">
        <w:rPr>
          <w:rFonts w:eastAsiaTheme="majorEastAsia"/>
        </w:rPr>
        <w:t>–</w:t>
      </w:r>
      <w:r w:rsidR="00336FE8">
        <w:rPr>
          <w:rFonts w:eastAsiaTheme="majorEastAsia"/>
        </w:rPr>
        <w:t xml:space="preserve"> </w:t>
      </w:r>
      <w:r w:rsidRPr="005776FE">
        <w:rPr>
          <w:rFonts w:eastAsiaTheme="majorEastAsia"/>
        </w:rPr>
        <w:t>6.5%) who died in settings without routine VL coverage.</w:t>
      </w:r>
    </w:p>
    <w:p w14:paraId="45A5E0E7" w14:textId="3D4DFF08" w:rsidR="00E7231A" w:rsidRDefault="00E7231A" w:rsidP="00E7231A">
      <w:pPr>
        <w:pStyle w:val="CEPAReportText"/>
        <w:rPr>
          <w:rFonts w:eastAsiaTheme="majorEastAsia"/>
        </w:rPr>
      </w:pPr>
      <w:r>
        <w:rPr>
          <w:rFonts w:eastAsiaTheme="majorEastAsia"/>
        </w:rPr>
        <w:t>Using project data (specifically from the MSF flagship publication on “Making Viral Load Routine” (2015)) regarding the number of people reached through MSF VL monitoring, t</w:t>
      </w:r>
      <w:r w:rsidRPr="005776FE">
        <w:rPr>
          <w:rFonts w:eastAsiaTheme="majorEastAsia"/>
        </w:rPr>
        <w:t xml:space="preserve">he estimated direct impact of the project at three years post increasing VL testing coverage is that an estimated 2,579 </w:t>
      </w:r>
      <w:r w:rsidR="00FA6FC6">
        <w:rPr>
          <w:rFonts w:eastAsiaTheme="majorEastAsia"/>
        </w:rPr>
        <w:t>(</w:t>
      </w:r>
      <w:r w:rsidR="00FA6FC6">
        <w:t xml:space="preserve">CI 2,192 – 2,708) </w:t>
      </w:r>
      <w:r w:rsidRPr="005776FE">
        <w:rPr>
          <w:rFonts w:eastAsiaTheme="majorEastAsia"/>
        </w:rPr>
        <w:t xml:space="preserve">deaths were averted, in comparison to </w:t>
      </w:r>
      <w:r>
        <w:rPr>
          <w:rFonts w:eastAsiaTheme="majorEastAsia"/>
        </w:rPr>
        <w:t xml:space="preserve">not having routine </w:t>
      </w:r>
      <w:r w:rsidRPr="005776FE">
        <w:rPr>
          <w:rFonts w:eastAsiaTheme="majorEastAsia"/>
        </w:rPr>
        <w:t>VL test</w:t>
      </w:r>
      <w:r>
        <w:rPr>
          <w:rFonts w:eastAsiaTheme="majorEastAsia"/>
        </w:rPr>
        <w:t xml:space="preserve">ing. </w:t>
      </w:r>
      <w:r w:rsidR="0054179B">
        <w:rPr>
          <w:rFonts w:eastAsiaTheme="majorEastAsia"/>
        </w:rPr>
        <w:t>This estimate has been derived by multiplyin</w:t>
      </w:r>
      <w:r w:rsidR="003A23A7">
        <w:rPr>
          <w:rFonts w:eastAsiaTheme="majorEastAsia"/>
        </w:rPr>
        <w:t>g:</w:t>
      </w:r>
      <w:r w:rsidR="0054179B">
        <w:rPr>
          <w:rFonts w:eastAsiaTheme="majorEastAsia"/>
        </w:rPr>
        <w:t xml:space="preserve"> (i) the country ART cohort size by the coverage achieved in that MSF site and (ii) by the difference in </w:t>
      </w:r>
      <w:r w:rsidR="008D4BFA">
        <w:rPr>
          <w:rFonts w:eastAsiaTheme="majorEastAsia"/>
        </w:rPr>
        <w:t xml:space="preserve">mortality due to increasing </w:t>
      </w:r>
      <w:r w:rsidR="00A96D83">
        <w:rPr>
          <w:rFonts w:eastAsiaTheme="majorEastAsia"/>
        </w:rPr>
        <w:t xml:space="preserve">routine VL coverage </w:t>
      </w:r>
      <w:r w:rsidR="00E26F99" w:rsidRPr="00A96D83">
        <w:t xml:space="preserve">(6.3% </w:t>
      </w:r>
      <w:r w:rsidR="00E26F99">
        <w:t>CI 6.0%</w:t>
      </w:r>
      <w:r w:rsidR="00336FE8">
        <w:t xml:space="preserve"> </w:t>
      </w:r>
      <w:r w:rsidR="00E26F99">
        <w:t>-</w:t>
      </w:r>
      <w:r w:rsidR="00336FE8">
        <w:t xml:space="preserve"> </w:t>
      </w:r>
      <w:r w:rsidR="00E26F99">
        <w:t>6.5% -subtract 4.3% CI 3.9%</w:t>
      </w:r>
      <w:r w:rsidR="00336FE8">
        <w:t xml:space="preserve"> </w:t>
      </w:r>
      <w:r w:rsidR="00E26F99">
        <w:t>-</w:t>
      </w:r>
      <w:r w:rsidR="00336FE8">
        <w:t xml:space="preserve"> </w:t>
      </w:r>
      <w:r w:rsidR="00E26F99">
        <w:t>4.8%).</w:t>
      </w:r>
    </w:p>
    <w:p w14:paraId="4C1C65BE" w14:textId="77777777" w:rsidR="00E7231A" w:rsidRPr="00E0011B" w:rsidRDefault="00E7231A" w:rsidP="00E7231A">
      <w:pPr>
        <w:keepNext/>
        <w:keepLines/>
        <w:numPr>
          <w:ilvl w:val="1"/>
          <w:numId w:val="3"/>
        </w:numPr>
        <w:tabs>
          <w:tab w:val="clear" w:pos="1440"/>
          <w:tab w:val="left" w:pos="357"/>
        </w:tabs>
        <w:spacing w:before="240" w:after="240"/>
        <w:outlineLvl w:val="7"/>
        <w:rPr>
          <w:rFonts w:asciiTheme="minorHAnsi" w:eastAsiaTheme="majorEastAsia" w:hAnsiTheme="minorHAnsi" w:cstheme="majorBidi"/>
          <w:b/>
          <w:color w:val="316EB9" w:themeColor="text1" w:themeTint="D8"/>
          <w:szCs w:val="21"/>
        </w:rPr>
      </w:pPr>
      <w:r w:rsidRPr="00E0011B">
        <w:rPr>
          <w:rFonts w:asciiTheme="minorHAnsi" w:eastAsiaTheme="majorEastAsia" w:hAnsiTheme="minorHAnsi" w:cstheme="majorBidi"/>
          <w:b/>
          <w:color w:val="316EB9" w:themeColor="text1" w:themeTint="D8"/>
          <w:szCs w:val="21"/>
        </w:rPr>
        <w:t>Indirect impact</w:t>
      </w:r>
      <w:r>
        <w:rPr>
          <w:rFonts w:asciiTheme="minorHAnsi" w:eastAsiaTheme="majorEastAsia" w:hAnsiTheme="minorHAnsi" w:cstheme="majorBidi"/>
          <w:b/>
          <w:color w:val="316EB9" w:themeColor="text1" w:themeTint="D8"/>
          <w:szCs w:val="21"/>
        </w:rPr>
        <w:t xml:space="preserve"> estimates</w:t>
      </w:r>
    </w:p>
    <w:p w14:paraId="787815C4" w14:textId="6F1D3ECD" w:rsidR="00E7231A" w:rsidRPr="003A23A7" w:rsidRDefault="00E7231A" w:rsidP="003A23A7">
      <w:pPr>
        <w:pStyle w:val="CEPAReportText"/>
        <w:rPr>
          <w:i/>
        </w:rPr>
      </w:pPr>
      <w:r w:rsidRPr="003A23A7">
        <w:rPr>
          <w:i/>
        </w:rPr>
        <w:t>Number of deaths averted due to increasing VL testing coverage after 3 years assum</w:t>
      </w:r>
      <w:r w:rsidR="003A23A7" w:rsidRPr="003A23A7">
        <w:rPr>
          <w:i/>
        </w:rPr>
        <w:t>ing reaching SA coverage rates</w:t>
      </w:r>
    </w:p>
    <w:p w14:paraId="31E8080D" w14:textId="36F58A8D" w:rsidR="00E7231A" w:rsidRDefault="00E7231A" w:rsidP="00E7231A">
      <w:pPr>
        <w:pStyle w:val="CEPAReportText"/>
      </w:pPr>
      <w:r>
        <w:t>This estimate assumes that the project countries achieve routine VL testing, to a degree which is the same as that which was achieved in South Africa within the study by Keiser et al (2011).</w:t>
      </w:r>
      <w:r>
        <w:rPr>
          <w:rStyle w:val="FootnoteReference"/>
        </w:rPr>
        <w:footnoteReference w:id="140"/>
      </w:r>
      <w:r>
        <w:t xml:space="preserve"> Using UNAIDS data regarding the estimated number of PLHIV on ART from these countries</w:t>
      </w:r>
      <w:r>
        <w:rPr>
          <w:rStyle w:val="FootnoteReference"/>
        </w:rPr>
        <w:footnoteReference w:id="141"/>
      </w:r>
      <w:r>
        <w:t xml:space="preserve">, </w:t>
      </w:r>
      <w:bookmarkStart w:id="736" w:name="_Hlk507085132"/>
      <w:r>
        <w:t xml:space="preserve">it is estimated that if VL testing is scaled up to the level of South Africa’s routine VL coverage, then </w:t>
      </w:r>
      <w:r w:rsidRPr="00782425">
        <w:t xml:space="preserve">82,000 </w:t>
      </w:r>
      <w:r w:rsidR="00EB4E4E">
        <w:t xml:space="preserve">(CI </w:t>
      </w:r>
      <w:r w:rsidR="00E26F99">
        <w:t>69,700</w:t>
      </w:r>
      <w:r w:rsidR="00336FE8">
        <w:t xml:space="preserve"> </w:t>
      </w:r>
      <w:r w:rsidR="00E26F99">
        <w:t>-</w:t>
      </w:r>
      <w:r w:rsidR="00336FE8">
        <w:t xml:space="preserve"> </w:t>
      </w:r>
      <w:r w:rsidR="00E26F99">
        <w:t xml:space="preserve">86,100) </w:t>
      </w:r>
      <w:r>
        <w:t xml:space="preserve">additional deaths will be averted in three years in comparison to not having routine VL testing. </w:t>
      </w:r>
      <w:bookmarkEnd w:id="736"/>
      <w:r w:rsidR="00C220D7">
        <w:t xml:space="preserve">This estimate has been derived by multiplying (i) the number of PLHIV on ART in project countries by the </w:t>
      </w:r>
      <w:r w:rsidR="00A96D83" w:rsidRPr="00A96D83">
        <w:t xml:space="preserve">by the difference in mortality due to increasing routine VL coverage (6.3% </w:t>
      </w:r>
      <w:r w:rsidR="00E26F99">
        <w:t>CI 6.0%</w:t>
      </w:r>
      <w:r w:rsidR="00336FE8">
        <w:t xml:space="preserve"> </w:t>
      </w:r>
      <w:r w:rsidR="00E26F99">
        <w:t>-</w:t>
      </w:r>
      <w:r w:rsidR="00336FE8">
        <w:t xml:space="preserve"> </w:t>
      </w:r>
      <w:r w:rsidR="00E26F99">
        <w:t xml:space="preserve">6.5% </w:t>
      </w:r>
      <w:r w:rsidR="00A96D83">
        <w:t>subtract 4.3%</w:t>
      </w:r>
      <w:r w:rsidR="00E26F99">
        <w:t xml:space="preserve"> CI 3.9%</w:t>
      </w:r>
      <w:r w:rsidR="00336FE8">
        <w:t xml:space="preserve"> </w:t>
      </w:r>
      <w:r w:rsidR="00E26F99">
        <w:t>-</w:t>
      </w:r>
      <w:r w:rsidR="00336FE8">
        <w:t xml:space="preserve"> </w:t>
      </w:r>
      <w:r w:rsidR="00E26F99">
        <w:t>4.8%</w:t>
      </w:r>
      <w:r w:rsidR="00A96D83">
        <w:t>).</w:t>
      </w:r>
    </w:p>
    <w:p w14:paraId="2D899A57" w14:textId="255A720A" w:rsidR="00E7231A" w:rsidRPr="005776FE" w:rsidRDefault="00E7231A" w:rsidP="00E7231A">
      <w:pPr>
        <w:pStyle w:val="CEPADiagramLabel"/>
      </w:pPr>
      <w:r>
        <w:t>Table J.2. Country Data</w:t>
      </w:r>
      <w:r>
        <w:rPr>
          <w:rStyle w:val="FootnoteReference"/>
        </w:rPr>
        <w:footnoteReference w:id="142"/>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243"/>
        <w:gridCol w:w="2005"/>
        <w:gridCol w:w="4768"/>
      </w:tblGrid>
      <w:tr w:rsidR="00E7231A" w14:paraId="7F80351C" w14:textId="77777777" w:rsidTr="003605C6">
        <w:trPr>
          <w:tblHeader/>
        </w:trPr>
        <w:tc>
          <w:tcPr>
            <w:tcW w:w="1244" w:type="pct"/>
            <w:shd w:val="solid" w:color="4B86CD" w:fill="auto"/>
          </w:tcPr>
          <w:p w14:paraId="12F2B740" w14:textId="77777777" w:rsidR="00E7231A" w:rsidRPr="005776FE" w:rsidRDefault="00E7231A" w:rsidP="00FC39D5">
            <w:pPr>
              <w:pStyle w:val="CEPATabletext"/>
              <w:rPr>
                <w:b/>
                <w:color w:val="FFFFFF"/>
              </w:rPr>
            </w:pPr>
            <w:r>
              <w:rPr>
                <w:b/>
                <w:color w:val="FFFFFF"/>
              </w:rPr>
              <w:t>Country</w:t>
            </w:r>
          </w:p>
        </w:tc>
        <w:tc>
          <w:tcPr>
            <w:tcW w:w="1112" w:type="pct"/>
            <w:shd w:val="solid" w:color="4B86CD" w:fill="auto"/>
          </w:tcPr>
          <w:p w14:paraId="046CDC35" w14:textId="77777777" w:rsidR="00E7231A" w:rsidRPr="005776FE" w:rsidRDefault="00E7231A" w:rsidP="00FC39D5">
            <w:pPr>
              <w:pStyle w:val="CEPATabletext"/>
              <w:rPr>
                <w:b/>
                <w:color w:val="FFFFFF"/>
              </w:rPr>
            </w:pPr>
            <w:r>
              <w:rPr>
                <w:b/>
                <w:color w:val="FFFFFF"/>
              </w:rPr>
              <w:t>Number of PLHIV on ART in 2016</w:t>
            </w:r>
            <w:r>
              <w:rPr>
                <w:rStyle w:val="FootnoteReference"/>
                <w:b/>
                <w:color w:val="FFFFFF"/>
              </w:rPr>
              <w:footnoteReference w:id="143"/>
            </w:r>
          </w:p>
        </w:tc>
        <w:tc>
          <w:tcPr>
            <w:tcW w:w="2644" w:type="pct"/>
            <w:shd w:val="solid" w:color="4B86CD" w:fill="auto"/>
          </w:tcPr>
          <w:p w14:paraId="5F489B71" w14:textId="77777777" w:rsidR="00E7231A" w:rsidRPr="005776FE" w:rsidRDefault="00E7231A" w:rsidP="00FC39D5">
            <w:pPr>
              <w:pStyle w:val="CEPATabletext"/>
              <w:rPr>
                <w:b/>
                <w:color w:val="FFFFFF"/>
              </w:rPr>
            </w:pPr>
            <w:r w:rsidRPr="006A3874">
              <w:rPr>
                <w:b/>
                <w:color w:val="FFFFFF"/>
              </w:rPr>
              <w:t>Number of deaths averted due to increasing VL testing coverage</w:t>
            </w:r>
          </w:p>
        </w:tc>
      </w:tr>
      <w:tr w:rsidR="00E7231A" w14:paraId="290F859F" w14:textId="77777777" w:rsidTr="003605C6">
        <w:tc>
          <w:tcPr>
            <w:tcW w:w="1244" w:type="pct"/>
          </w:tcPr>
          <w:p w14:paraId="7482650F" w14:textId="77777777" w:rsidR="00E7231A" w:rsidRDefault="00E7231A" w:rsidP="00FC39D5">
            <w:pPr>
              <w:pStyle w:val="CEPATabletext"/>
            </w:pPr>
            <w:r w:rsidRPr="00A1752D">
              <w:t>DRC</w:t>
            </w:r>
          </w:p>
        </w:tc>
        <w:tc>
          <w:tcPr>
            <w:tcW w:w="1112" w:type="pct"/>
          </w:tcPr>
          <w:p w14:paraId="496BF43F" w14:textId="77777777" w:rsidR="00E7231A" w:rsidRDefault="00E7231A" w:rsidP="00FC39D5">
            <w:pPr>
              <w:pStyle w:val="CEPATabletext"/>
            </w:pPr>
            <w:r w:rsidRPr="00EE4711">
              <w:t xml:space="preserve"> 160,000 </w:t>
            </w:r>
          </w:p>
        </w:tc>
        <w:tc>
          <w:tcPr>
            <w:tcW w:w="2644" w:type="pct"/>
          </w:tcPr>
          <w:p w14:paraId="4D860235" w14:textId="77777777" w:rsidR="00E7231A" w:rsidRDefault="00E7231A" w:rsidP="00FC39D5">
            <w:pPr>
              <w:pStyle w:val="CEPATabletext"/>
            </w:pPr>
            <w:r w:rsidRPr="00CC36C7">
              <w:t xml:space="preserve"> 3,200 </w:t>
            </w:r>
          </w:p>
        </w:tc>
      </w:tr>
      <w:tr w:rsidR="00E7231A" w14:paraId="01F282E1" w14:textId="77777777" w:rsidTr="003605C6">
        <w:tc>
          <w:tcPr>
            <w:tcW w:w="1244" w:type="pct"/>
          </w:tcPr>
          <w:p w14:paraId="5385DA7C" w14:textId="77777777" w:rsidR="00E7231A" w:rsidRDefault="00E7231A" w:rsidP="00FC39D5">
            <w:pPr>
              <w:pStyle w:val="CEPATabletext"/>
            </w:pPr>
            <w:r w:rsidRPr="00A1752D">
              <w:t>Lesotho</w:t>
            </w:r>
          </w:p>
        </w:tc>
        <w:tc>
          <w:tcPr>
            <w:tcW w:w="1112" w:type="pct"/>
          </w:tcPr>
          <w:p w14:paraId="511BA9F4" w14:textId="77777777" w:rsidR="00E7231A" w:rsidRDefault="00E7231A" w:rsidP="00FC39D5">
            <w:pPr>
              <w:pStyle w:val="CEPATabletext"/>
            </w:pPr>
            <w:r w:rsidRPr="00EE4711">
              <w:t xml:space="preserve"> 180,000 </w:t>
            </w:r>
          </w:p>
        </w:tc>
        <w:tc>
          <w:tcPr>
            <w:tcW w:w="2644" w:type="pct"/>
          </w:tcPr>
          <w:p w14:paraId="2D53C67D" w14:textId="77777777" w:rsidR="00E7231A" w:rsidRDefault="00E7231A" w:rsidP="00FC39D5">
            <w:pPr>
              <w:pStyle w:val="CEPATabletext"/>
            </w:pPr>
            <w:r w:rsidRPr="00CC36C7">
              <w:t xml:space="preserve"> 3,600 </w:t>
            </w:r>
          </w:p>
        </w:tc>
      </w:tr>
      <w:tr w:rsidR="00E7231A" w14:paraId="346E798D" w14:textId="77777777" w:rsidTr="003605C6">
        <w:tc>
          <w:tcPr>
            <w:tcW w:w="1244" w:type="pct"/>
          </w:tcPr>
          <w:p w14:paraId="4F93A091" w14:textId="77777777" w:rsidR="00E7231A" w:rsidRDefault="00E7231A" w:rsidP="00FC39D5">
            <w:pPr>
              <w:pStyle w:val="CEPATabletext"/>
            </w:pPr>
            <w:r w:rsidRPr="00A1752D">
              <w:t>Malawi</w:t>
            </w:r>
          </w:p>
        </w:tc>
        <w:tc>
          <w:tcPr>
            <w:tcW w:w="1112" w:type="pct"/>
          </w:tcPr>
          <w:p w14:paraId="6D83C8AC" w14:textId="77777777" w:rsidR="00E7231A" w:rsidRDefault="00E7231A" w:rsidP="00FC39D5">
            <w:pPr>
              <w:pStyle w:val="CEPATabletext"/>
            </w:pPr>
            <w:r w:rsidRPr="00EE4711">
              <w:t xml:space="preserve"> 680,000 </w:t>
            </w:r>
          </w:p>
        </w:tc>
        <w:tc>
          <w:tcPr>
            <w:tcW w:w="2644" w:type="pct"/>
          </w:tcPr>
          <w:p w14:paraId="73B651D6" w14:textId="77777777" w:rsidR="00E7231A" w:rsidRDefault="00E7231A" w:rsidP="00FC39D5">
            <w:pPr>
              <w:pStyle w:val="CEPATabletext"/>
            </w:pPr>
            <w:r w:rsidRPr="00CC36C7">
              <w:t xml:space="preserve"> 13,600 </w:t>
            </w:r>
          </w:p>
        </w:tc>
      </w:tr>
      <w:tr w:rsidR="00E7231A" w14:paraId="10ED0DE8" w14:textId="77777777" w:rsidTr="003605C6">
        <w:tc>
          <w:tcPr>
            <w:tcW w:w="1244" w:type="pct"/>
          </w:tcPr>
          <w:p w14:paraId="0D39E4FA" w14:textId="77777777" w:rsidR="00E7231A" w:rsidRDefault="00E7231A" w:rsidP="00FC39D5">
            <w:pPr>
              <w:pStyle w:val="CEPATabletext"/>
            </w:pPr>
            <w:r w:rsidRPr="00A1752D">
              <w:t>Mozambique</w:t>
            </w:r>
          </w:p>
        </w:tc>
        <w:tc>
          <w:tcPr>
            <w:tcW w:w="1112" w:type="pct"/>
          </w:tcPr>
          <w:p w14:paraId="0111FAA1" w14:textId="77777777" w:rsidR="00E7231A" w:rsidRDefault="00E7231A" w:rsidP="00FC39D5">
            <w:pPr>
              <w:pStyle w:val="CEPATabletext"/>
            </w:pPr>
            <w:r w:rsidRPr="00EE4711">
              <w:t xml:space="preserve"> 990,000 </w:t>
            </w:r>
          </w:p>
        </w:tc>
        <w:tc>
          <w:tcPr>
            <w:tcW w:w="2644" w:type="pct"/>
          </w:tcPr>
          <w:p w14:paraId="29C8A19F" w14:textId="77777777" w:rsidR="00E7231A" w:rsidRDefault="00E7231A" w:rsidP="00FC39D5">
            <w:pPr>
              <w:pStyle w:val="CEPATabletext"/>
            </w:pPr>
            <w:r w:rsidRPr="00CC36C7">
              <w:t xml:space="preserve"> 19,800 </w:t>
            </w:r>
          </w:p>
        </w:tc>
      </w:tr>
      <w:tr w:rsidR="00E7231A" w14:paraId="3DF95D29" w14:textId="77777777" w:rsidTr="003605C6">
        <w:tc>
          <w:tcPr>
            <w:tcW w:w="1244" w:type="pct"/>
          </w:tcPr>
          <w:p w14:paraId="713B44A6" w14:textId="77777777" w:rsidR="00E7231A" w:rsidRDefault="00E7231A" w:rsidP="00FC39D5">
            <w:pPr>
              <w:pStyle w:val="CEPATabletext"/>
            </w:pPr>
            <w:r w:rsidRPr="00A1752D">
              <w:t>Swaziland</w:t>
            </w:r>
          </w:p>
        </w:tc>
        <w:tc>
          <w:tcPr>
            <w:tcW w:w="1112" w:type="pct"/>
          </w:tcPr>
          <w:p w14:paraId="09C581D1" w14:textId="77777777" w:rsidR="00E7231A" w:rsidRDefault="00E7231A" w:rsidP="00FC39D5">
            <w:pPr>
              <w:pStyle w:val="CEPATabletext"/>
            </w:pPr>
            <w:r w:rsidRPr="00EE4711">
              <w:t xml:space="preserve"> 170,000 </w:t>
            </w:r>
          </w:p>
        </w:tc>
        <w:tc>
          <w:tcPr>
            <w:tcW w:w="2644" w:type="pct"/>
          </w:tcPr>
          <w:p w14:paraId="7911E133" w14:textId="77777777" w:rsidR="00E7231A" w:rsidRDefault="00E7231A" w:rsidP="00FC39D5">
            <w:pPr>
              <w:pStyle w:val="CEPATabletext"/>
            </w:pPr>
            <w:r w:rsidRPr="00CC36C7">
              <w:t xml:space="preserve"> 3,400 </w:t>
            </w:r>
          </w:p>
        </w:tc>
      </w:tr>
      <w:tr w:rsidR="00E7231A" w14:paraId="1E64A444" w14:textId="77777777" w:rsidTr="003605C6">
        <w:tc>
          <w:tcPr>
            <w:tcW w:w="1244" w:type="pct"/>
          </w:tcPr>
          <w:p w14:paraId="2277BCA5" w14:textId="77777777" w:rsidR="00E7231A" w:rsidRDefault="00E7231A" w:rsidP="00FC39D5">
            <w:pPr>
              <w:pStyle w:val="CEPATabletext"/>
            </w:pPr>
            <w:r w:rsidRPr="00A1752D">
              <w:t>Uganda</w:t>
            </w:r>
          </w:p>
        </w:tc>
        <w:tc>
          <w:tcPr>
            <w:tcW w:w="1112" w:type="pct"/>
          </w:tcPr>
          <w:p w14:paraId="668CDC1B" w14:textId="77777777" w:rsidR="00E7231A" w:rsidRDefault="00E7231A" w:rsidP="00FC39D5">
            <w:pPr>
              <w:pStyle w:val="CEPATabletext"/>
            </w:pPr>
            <w:r w:rsidRPr="00EE4711">
              <w:t xml:space="preserve"> 940,000 </w:t>
            </w:r>
          </w:p>
        </w:tc>
        <w:tc>
          <w:tcPr>
            <w:tcW w:w="2644" w:type="pct"/>
          </w:tcPr>
          <w:p w14:paraId="44E4F3AA" w14:textId="77777777" w:rsidR="00E7231A" w:rsidRDefault="00E7231A" w:rsidP="00FC39D5">
            <w:pPr>
              <w:pStyle w:val="CEPATabletext"/>
            </w:pPr>
            <w:r w:rsidRPr="00CC36C7">
              <w:t xml:space="preserve"> 18,800 </w:t>
            </w:r>
          </w:p>
        </w:tc>
      </w:tr>
      <w:tr w:rsidR="00E7231A" w14:paraId="39569B36" w14:textId="77777777" w:rsidTr="003605C6">
        <w:tc>
          <w:tcPr>
            <w:tcW w:w="1244" w:type="pct"/>
          </w:tcPr>
          <w:p w14:paraId="15FE8093" w14:textId="77777777" w:rsidR="00E7231A" w:rsidRDefault="00E7231A" w:rsidP="00FC39D5">
            <w:pPr>
              <w:pStyle w:val="CEPATabletext"/>
            </w:pPr>
            <w:r w:rsidRPr="00A1752D">
              <w:t>Zimbabwe</w:t>
            </w:r>
          </w:p>
        </w:tc>
        <w:tc>
          <w:tcPr>
            <w:tcW w:w="1112" w:type="pct"/>
          </w:tcPr>
          <w:p w14:paraId="5F973FE6" w14:textId="77777777" w:rsidR="00E7231A" w:rsidRDefault="00E7231A" w:rsidP="00FC39D5">
            <w:pPr>
              <w:pStyle w:val="CEPATabletext"/>
            </w:pPr>
            <w:r w:rsidRPr="00EE4711">
              <w:t xml:space="preserve"> 980,000 </w:t>
            </w:r>
          </w:p>
        </w:tc>
        <w:tc>
          <w:tcPr>
            <w:tcW w:w="2644" w:type="pct"/>
          </w:tcPr>
          <w:p w14:paraId="487B32BF" w14:textId="77777777" w:rsidR="00E7231A" w:rsidRDefault="00E7231A" w:rsidP="00FC39D5">
            <w:pPr>
              <w:pStyle w:val="CEPATabletext"/>
            </w:pPr>
            <w:r w:rsidRPr="00CC36C7">
              <w:t xml:space="preserve"> 19,600 </w:t>
            </w:r>
          </w:p>
        </w:tc>
      </w:tr>
      <w:tr w:rsidR="00E7231A" w:rsidRPr="00453456" w14:paraId="7AC1E290" w14:textId="77777777" w:rsidTr="003605C6">
        <w:tc>
          <w:tcPr>
            <w:tcW w:w="1244" w:type="pct"/>
          </w:tcPr>
          <w:p w14:paraId="4A8D2794" w14:textId="77777777" w:rsidR="00E7231A" w:rsidRPr="00697372" w:rsidRDefault="00E7231A" w:rsidP="00FC39D5">
            <w:pPr>
              <w:pStyle w:val="CEPATabletext"/>
              <w:rPr>
                <w:b/>
              </w:rPr>
            </w:pPr>
            <w:r w:rsidRPr="00697372">
              <w:rPr>
                <w:b/>
              </w:rPr>
              <w:t>Total</w:t>
            </w:r>
          </w:p>
        </w:tc>
        <w:tc>
          <w:tcPr>
            <w:tcW w:w="1112" w:type="pct"/>
          </w:tcPr>
          <w:p w14:paraId="2434451D" w14:textId="77777777" w:rsidR="00E7231A" w:rsidRPr="00697372" w:rsidRDefault="00E7231A" w:rsidP="00FC39D5">
            <w:pPr>
              <w:pStyle w:val="CEPATabletext"/>
              <w:rPr>
                <w:b/>
              </w:rPr>
            </w:pPr>
          </w:p>
        </w:tc>
        <w:tc>
          <w:tcPr>
            <w:tcW w:w="2644" w:type="pct"/>
          </w:tcPr>
          <w:p w14:paraId="044C360A" w14:textId="77777777" w:rsidR="00E7231A" w:rsidRPr="00697372" w:rsidRDefault="00E7231A" w:rsidP="00FC39D5">
            <w:pPr>
              <w:pStyle w:val="CEPATabletext"/>
              <w:rPr>
                <w:b/>
              </w:rPr>
            </w:pPr>
            <w:r w:rsidRPr="00697372">
              <w:rPr>
                <w:b/>
              </w:rPr>
              <w:t>82,000</w:t>
            </w:r>
          </w:p>
        </w:tc>
      </w:tr>
    </w:tbl>
    <w:p w14:paraId="7B1DB2B5" w14:textId="77777777" w:rsidR="00E7231A" w:rsidRPr="003A23A7" w:rsidRDefault="00E7231A" w:rsidP="003A23A7">
      <w:pPr>
        <w:pStyle w:val="CEPAReportText"/>
        <w:rPr>
          <w:i/>
        </w:rPr>
      </w:pPr>
      <w:r w:rsidRPr="003A23A7">
        <w:rPr>
          <w:i/>
        </w:rPr>
        <w:t>Number of additional deaths averted due to switching to second line treatment</w:t>
      </w:r>
    </w:p>
    <w:p w14:paraId="3D5DC875" w14:textId="25DFB3D7" w:rsidR="00E7231A" w:rsidRDefault="00E7231A" w:rsidP="00E7231A">
      <w:pPr>
        <w:pStyle w:val="CEPAReportText"/>
      </w:pPr>
      <w:bookmarkStart w:id="737" w:name="_Hlk507085258"/>
      <w:r>
        <w:t xml:space="preserve">Assuming that PLHIV on ART in project countries receive routine VL testing, </w:t>
      </w:r>
      <w:r w:rsidR="003A23A7">
        <w:t>we estimate</w:t>
      </w:r>
      <w:r>
        <w:t xml:space="preserve"> how many additional deaths may be averted due to switching to second line treatment. </w:t>
      </w:r>
      <w:bookmarkStart w:id="738" w:name="_Hlk507085301"/>
      <w:bookmarkEnd w:id="737"/>
      <w:r>
        <w:t>This was derived through applying assumptions regarding the number of PLHIV on ART who are failing first line treatment</w:t>
      </w:r>
      <w:r>
        <w:rPr>
          <w:rStyle w:val="FootnoteReference"/>
        </w:rPr>
        <w:footnoteReference w:id="144"/>
      </w:r>
      <w:r>
        <w:t xml:space="preserve"> as well as an assumed increase in switching rate of 8.9% from routine VL testing instead of CD4 testing</w:t>
      </w:r>
      <w:bookmarkEnd w:id="738"/>
      <w:r>
        <w:t>.</w:t>
      </w:r>
      <w:r>
        <w:rPr>
          <w:rStyle w:val="FootnoteReference"/>
        </w:rPr>
        <w:footnoteReference w:id="145"/>
      </w:r>
      <w:r>
        <w:t xml:space="preserve"> Through applying these assumptions</w:t>
      </w:r>
      <w:r w:rsidR="00256E27">
        <w:t xml:space="preserve"> and assuming a reduction in mortality from switching to second line regimen, as per Keiser et al (2010)</w:t>
      </w:r>
      <w:r>
        <w:t xml:space="preserve"> it is estimated that an additional 2,700 deaths will be</w:t>
      </w:r>
      <w:r w:rsidRPr="00082886">
        <w:t xml:space="preserve"> averted</w:t>
      </w:r>
      <w:r w:rsidR="00256E27">
        <w:t xml:space="preserve"> after one year</w:t>
      </w:r>
      <w:r>
        <w:t xml:space="preserve"> through switching patients to second line regimen</w:t>
      </w:r>
      <w:r w:rsidRPr="00082886">
        <w:t>, in comparison to not having routine VL testing.</w:t>
      </w:r>
      <w:r w:rsidR="00A96D83">
        <w:t xml:space="preserve"> This estimate has been derived by multiplying (i) the number of PLHIV on ART in project countries</w:t>
      </w:r>
      <w:r w:rsidR="00A96D83">
        <w:rPr>
          <w:rStyle w:val="FootnoteReference"/>
        </w:rPr>
        <w:footnoteReference w:id="146"/>
      </w:r>
      <w:r w:rsidR="00A96D83">
        <w:t xml:space="preserve"> by the proportion of PLHIV assumed to be failing first-line treatment (10%) and (ii) by the number of PLHIV switched to second-line treatment (assumed to be 8.9%)</w:t>
      </w:r>
      <w:r w:rsidR="00A96D83">
        <w:rPr>
          <w:rStyle w:val="FootnoteReference"/>
        </w:rPr>
        <w:footnoteReference w:id="147"/>
      </w:r>
      <w:r w:rsidR="00D27455">
        <w:t xml:space="preserve"> and (iii) by the reduction in mortality due to switching to second-line treatment (11.7% subtract 4.2%)</w:t>
      </w:r>
      <w:r w:rsidR="00EB4E4E">
        <w:t>.</w:t>
      </w:r>
      <w:r w:rsidR="00D27455">
        <w:rPr>
          <w:rStyle w:val="FootnoteReference"/>
        </w:rPr>
        <w:footnoteReference w:id="148"/>
      </w:r>
    </w:p>
    <w:p w14:paraId="51E01056" w14:textId="77777777" w:rsidR="00E7231A" w:rsidRDefault="00E7231A" w:rsidP="00E7231A">
      <w:pPr>
        <w:pStyle w:val="CEPAReportText"/>
      </w:pPr>
      <w:r>
        <w:t xml:space="preserve">While we cannot compare the two sets of numbers, the relatively smaller number of deaths averted through switching could be reflective of the challenges in switching, as was also observed under the MSF project. </w:t>
      </w:r>
    </w:p>
    <w:p w14:paraId="50387F6F" w14:textId="479DA581" w:rsidR="009E3E34" w:rsidRPr="009E3E34" w:rsidRDefault="009E3E34" w:rsidP="009B15E1">
      <w:pPr>
        <w:pStyle w:val="CEPAReportText"/>
      </w:pPr>
    </w:p>
    <w:sectPr w:rsidR="009E3E34" w:rsidRPr="009E3E34" w:rsidSect="00280C9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D4D5" w14:textId="77777777" w:rsidR="00971E65" w:rsidRDefault="00971E65" w:rsidP="009B4AF0">
      <w:r>
        <w:separator/>
      </w:r>
    </w:p>
  </w:endnote>
  <w:endnote w:type="continuationSeparator" w:id="0">
    <w:p w14:paraId="686B7E43" w14:textId="77777777" w:rsidR="00971E65" w:rsidRDefault="00971E65" w:rsidP="009B4AF0">
      <w:r>
        <w:continuationSeparator/>
      </w:r>
    </w:p>
  </w:endnote>
  <w:endnote w:type="continuationNotice" w:id="1">
    <w:p w14:paraId="37880042" w14:textId="77777777" w:rsidR="00971E65" w:rsidRDefault="00971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52F91" w14:textId="77777777" w:rsidR="00971E65" w:rsidRDefault="00971E65" w:rsidP="0012567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80EC88E" w14:textId="77777777" w:rsidR="00971E65" w:rsidRDefault="00971E65" w:rsidP="001256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993A" w14:textId="77777777" w:rsidR="00971E65" w:rsidRDefault="00971E65">
    <w:pPr>
      <w:pStyle w:val="Footer"/>
      <w:jc w:val="right"/>
    </w:pPr>
  </w:p>
  <w:p w14:paraId="61254BE4" w14:textId="77777777" w:rsidR="00971E65" w:rsidRDefault="00971E65" w:rsidP="001256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906701"/>
      <w:docPartObj>
        <w:docPartGallery w:val="Page Numbers (Bottom of Page)"/>
        <w:docPartUnique/>
      </w:docPartObj>
    </w:sdtPr>
    <w:sdtEndPr>
      <w:rPr>
        <w:noProof/>
      </w:rPr>
    </w:sdtEndPr>
    <w:sdtContent>
      <w:p w14:paraId="3BDB2D60" w14:textId="166099B6" w:rsidR="00971E65" w:rsidRDefault="00971E65">
        <w:pPr>
          <w:pStyle w:val="Footer"/>
          <w:jc w:val="right"/>
        </w:pPr>
        <w:r>
          <w:fldChar w:fldCharType="begin"/>
        </w:r>
        <w:r>
          <w:instrText xml:space="preserve"> PAGE   \* MERGEFORMAT </w:instrText>
        </w:r>
        <w:r>
          <w:fldChar w:fldCharType="separate"/>
        </w:r>
        <w:r w:rsidR="00BF391F">
          <w:rPr>
            <w:noProof/>
          </w:rPr>
          <w:t>i</w:t>
        </w:r>
        <w:r>
          <w:rPr>
            <w:noProof/>
          </w:rPr>
          <w:fldChar w:fldCharType="end"/>
        </w:r>
      </w:p>
    </w:sdtContent>
  </w:sdt>
  <w:p w14:paraId="62689E1B" w14:textId="77777777" w:rsidR="00971E65" w:rsidRDefault="00971E65" w:rsidP="001256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636E" w14:textId="77777777" w:rsidR="00971E65" w:rsidRDefault="00971E65" w:rsidP="0012567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C4038F2" w14:textId="77777777" w:rsidR="00971E65" w:rsidRDefault="00971E65" w:rsidP="001256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95CE" w14:textId="69A52E9B" w:rsidR="00971E65" w:rsidRDefault="00971E65" w:rsidP="0012567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BF391F">
      <w:rPr>
        <w:rStyle w:val="PageNumber"/>
        <w:rFonts w:eastAsiaTheme="majorEastAsia"/>
        <w:noProof/>
      </w:rPr>
      <w:t>v</w:t>
    </w:r>
    <w:r>
      <w:rPr>
        <w:rStyle w:val="PageNumber"/>
        <w:rFonts w:eastAsiaTheme="majorEastAsia"/>
      </w:rPr>
      <w:fldChar w:fldCharType="end"/>
    </w:r>
  </w:p>
  <w:p w14:paraId="6E66DDDE" w14:textId="77777777" w:rsidR="00971E65" w:rsidRDefault="00971E65" w:rsidP="00125677">
    <w:pPr>
      <w:pStyle w:val="Footer"/>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458BB" w14:textId="70F14098" w:rsidR="00971E65" w:rsidRDefault="00971E65" w:rsidP="0012567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47</w:t>
    </w:r>
    <w:r>
      <w:rPr>
        <w:rStyle w:val="PageNumber"/>
        <w:rFonts w:eastAsiaTheme="majorEastAsia"/>
      </w:rPr>
      <w:fldChar w:fldCharType="end"/>
    </w:r>
  </w:p>
  <w:p w14:paraId="168CEF27" w14:textId="77777777" w:rsidR="00971E65" w:rsidRDefault="00971E6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F368E" w14:textId="77777777" w:rsidR="00971E65" w:rsidRDefault="00971E65" w:rsidP="0012567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45CC798" w14:textId="77777777" w:rsidR="00971E65" w:rsidRDefault="00971E6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8688A" w14:textId="0FE9A48D" w:rsidR="00971E65" w:rsidRDefault="00971E65" w:rsidP="0012567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90</w:t>
    </w:r>
    <w:r>
      <w:rPr>
        <w:rStyle w:val="PageNumber"/>
        <w:rFonts w:eastAsiaTheme="majorEastAsia"/>
      </w:rPr>
      <w:fldChar w:fldCharType="end"/>
    </w:r>
  </w:p>
  <w:p w14:paraId="4BDF46D5" w14:textId="77777777" w:rsidR="00971E65" w:rsidRDefault="00971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91F1C" w14:textId="77777777" w:rsidR="00971E65" w:rsidRDefault="00971E65" w:rsidP="009B4AF0">
      <w:r>
        <w:separator/>
      </w:r>
    </w:p>
  </w:footnote>
  <w:footnote w:type="continuationSeparator" w:id="0">
    <w:p w14:paraId="0C5BC2E3" w14:textId="77777777" w:rsidR="00971E65" w:rsidRDefault="00971E65" w:rsidP="009B4AF0">
      <w:r>
        <w:continuationSeparator/>
      </w:r>
    </w:p>
  </w:footnote>
  <w:footnote w:type="continuationNotice" w:id="1">
    <w:p w14:paraId="1BE62D39" w14:textId="77777777" w:rsidR="00971E65" w:rsidRDefault="00971E65"/>
  </w:footnote>
  <w:footnote w:id="2">
    <w:p w14:paraId="66453CA2" w14:textId="06B04381" w:rsidR="00971E65" w:rsidRPr="00A6136B" w:rsidRDefault="00971E65">
      <w:pPr>
        <w:pStyle w:val="FootnoteText"/>
        <w:rPr>
          <w:lang w:val="en-US"/>
        </w:rPr>
      </w:pPr>
      <w:r>
        <w:rPr>
          <w:rStyle w:val="FootnoteReference"/>
        </w:rPr>
        <w:footnoteRef/>
      </w:r>
      <w:r>
        <w:t xml:space="preserve"> MSF (2017) End of Project Report.</w:t>
      </w:r>
    </w:p>
  </w:footnote>
  <w:footnote w:id="3">
    <w:p w14:paraId="2B5E5FFC" w14:textId="7BD3643D" w:rsidR="00971E65" w:rsidRDefault="00971E65">
      <w:pPr>
        <w:pStyle w:val="FootnoteText"/>
      </w:pPr>
      <w:r>
        <w:rPr>
          <w:rStyle w:val="FootnoteReference"/>
        </w:rPr>
        <w:footnoteRef/>
      </w:r>
      <w:r>
        <w:t xml:space="preserve"> MSF (2017) End of Project Report and consultations with MSF OCP.</w:t>
      </w:r>
    </w:p>
  </w:footnote>
  <w:footnote w:id="4">
    <w:p w14:paraId="5DB90034" w14:textId="6AC4AFA4" w:rsidR="00971E65" w:rsidRPr="00AB6C6A" w:rsidRDefault="00971E65">
      <w:pPr>
        <w:pStyle w:val="FootnoteText"/>
        <w:rPr>
          <w:b/>
        </w:rPr>
      </w:pPr>
      <w:r>
        <w:rPr>
          <w:rStyle w:val="FootnoteReference"/>
        </w:rPr>
        <w:footnoteRef/>
      </w:r>
      <w:r>
        <w:t xml:space="preserve"> </w:t>
      </w:r>
      <w:r w:rsidRPr="00753C8A">
        <w:t>MSF (2016) Vol. 8: Making Viral Load Routine: Part 1 Programmatic Strategies.</w:t>
      </w:r>
    </w:p>
  </w:footnote>
  <w:footnote w:id="5">
    <w:p w14:paraId="20D7126F" w14:textId="28FFECA3" w:rsidR="00971E65" w:rsidRPr="00431D97" w:rsidRDefault="00971E65">
      <w:pPr>
        <w:pStyle w:val="FootnoteText"/>
      </w:pPr>
      <w:r>
        <w:rPr>
          <w:rStyle w:val="FootnoteReference"/>
        </w:rPr>
        <w:footnoteRef/>
      </w:r>
      <w:r w:rsidRPr="00431D97">
        <w:rPr>
          <w:rStyle w:val="FootnoteReference"/>
        </w:rPr>
        <w:t xml:space="preserve"> </w:t>
      </w:r>
      <w:r w:rsidRPr="00431D97">
        <w:t>MSF (2016) Vol. 8: Making Viral Load Routine: Part 1 Programmatic Strategies, p.10.</w:t>
      </w:r>
    </w:p>
  </w:footnote>
  <w:footnote w:id="6">
    <w:p w14:paraId="4B1ADED8" w14:textId="0CD8A50E" w:rsidR="00971E65" w:rsidRDefault="00971E65">
      <w:pPr>
        <w:pStyle w:val="FootnoteText"/>
      </w:pPr>
      <w:r>
        <w:rPr>
          <w:rStyle w:val="FootnoteReference"/>
        </w:rPr>
        <w:footnoteRef/>
      </w:r>
      <w:r>
        <w:t xml:space="preserve"> MSF (2017) End of Project Report.</w:t>
      </w:r>
    </w:p>
  </w:footnote>
  <w:footnote w:id="7">
    <w:p w14:paraId="428AC261" w14:textId="604FE59E" w:rsidR="00971E65" w:rsidRDefault="00971E65" w:rsidP="00D74858">
      <w:pPr>
        <w:pStyle w:val="FootnoteText"/>
      </w:pPr>
      <w:r>
        <w:rPr>
          <w:rStyle w:val="FootnoteReference"/>
        </w:rPr>
        <w:footnoteRef/>
      </w:r>
      <w:r>
        <w:t xml:space="preserve"> MSF (2017) End of Project Report.</w:t>
      </w:r>
    </w:p>
  </w:footnote>
  <w:footnote w:id="8">
    <w:p w14:paraId="7401E250" w14:textId="3A37E4D6" w:rsidR="00971E65" w:rsidRPr="002E3798" w:rsidRDefault="00971E65">
      <w:pPr>
        <w:pStyle w:val="FootnoteText"/>
        <w:rPr>
          <w:lang w:val="en-US"/>
        </w:rPr>
      </w:pPr>
      <w:r>
        <w:rPr>
          <w:rStyle w:val="FootnoteReference"/>
        </w:rPr>
        <w:footnoteRef/>
      </w:r>
      <w:r>
        <w:t xml:space="preserve"> </w:t>
      </w:r>
      <w:r>
        <w:rPr>
          <w:lang w:val="en-US"/>
        </w:rPr>
        <w:t xml:space="preserve">Please refer the main report and annexes for more details on the data, references and calculations. </w:t>
      </w:r>
    </w:p>
  </w:footnote>
  <w:footnote w:id="9">
    <w:p w14:paraId="7B0B69BE" w14:textId="719C2DA5" w:rsidR="00971E65" w:rsidRDefault="00971E65">
      <w:pPr>
        <w:pStyle w:val="FootnoteText"/>
      </w:pPr>
      <w:r>
        <w:rPr>
          <w:rStyle w:val="FootnoteReference"/>
        </w:rPr>
        <w:footnoteRef/>
      </w:r>
      <w:r>
        <w:t xml:space="preserve"> This report benefits from input and review from CEPA Associate, Debi Boeras. </w:t>
      </w:r>
    </w:p>
  </w:footnote>
  <w:footnote w:id="10">
    <w:p w14:paraId="2EB2B9EA" w14:textId="2CCCEF35" w:rsidR="00971E65" w:rsidRDefault="00971E65" w:rsidP="006141BE">
      <w:pPr>
        <w:pStyle w:val="FootnoteText"/>
      </w:pPr>
      <w:r>
        <w:rPr>
          <w:rStyle w:val="FootnoteReference"/>
        </w:rPr>
        <w:footnoteRef/>
      </w:r>
      <w:r>
        <w:t xml:space="preserve"> Ferreyra et al. (2012) </w:t>
      </w:r>
    </w:p>
  </w:footnote>
  <w:footnote w:id="11">
    <w:p w14:paraId="24FCE235" w14:textId="37CDC40B" w:rsidR="00971E65" w:rsidRPr="00E46561" w:rsidRDefault="00971E65" w:rsidP="00B26B9F">
      <w:pPr>
        <w:pStyle w:val="FootnoteText"/>
        <w:rPr>
          <w:lang w:val="en-US"/>
        </w:rPr>
      </w:pPr>
      <w:r>
        <w:rPr>
          <w:rStyle w:val="FootnoteReference"/>
        </w:rPr>
        <w:footnoteRef/>
      </w:r>
      <w:r>
        <w:t xml:space="preserve"> </w:t>
      </w:r>
      <w:r>
        <w:rPr>
          <w:lang w:val="en-US"/>
        </w:rPr>
        <w:t xml:space="preserve">Unitaid funding represented 19% of the expected MSF budget for three years across the original set of countries (Project Plan, p.84). </w:t>
      </w:r>
    </w:p>
  </w:footnote>
  <w:footnote w:id="12">
    <w:p w14:paraId="2B129DCD" w14:textId="15B5A55B" w:rsidR="00971E65" w:rsidRDefault="00971E65">
      <w:pPr>
        <w:pStyle w:val="FootnoteText"/>
      </w:pPr>
      <w:r>
        <w:rPr>
          <w:rStyle w:val="FootnoteReference"/>
        </w:rPr>
        <w:footnoteRef/>
      </w:r>
      <w:r>
        <w:t xml:space="preserve"> </w:t>
      </w:r>
      <w:r w:rsidRPr="00897778">
        <w:t>MSF (2016) Vol. 8: Making Viral Load Routine Part 1: Programmatic strategies</w:t>
      </w:r>
    </w:p>
  </w:footnote>
  <w:footnote w:id="13">
    <w:p w14:paraId="229CAB15" w14:textId="39062573" w:rsidR="00971E65" w:rsidRDefault="00971E65" w:rsidP="00831CD7">
      <w:pPr>
        <w:pStyle w:val="FootnoteText"/>
      </w:pPr>
      <w:r>
        <w:rPr>
          <w:rStyle w:val="FootnoteReference"/>
        </w:rPr>
        <w:footnoteRef/>
      </w:r>
      <w:r>
        <w:t xml:space="preserve"> MSF (2017) End of Project Report, p.10.</w:t>
      </w:r>
    </w:p>
  </w:footnote>
  <w:footnote w:id="14">
    <w:p w14:paraId="246C4129" w14:textId="2BA16155" w:rsidR="00971E65" w:rsidRDefault="00971E65" w:rsidP="006141BE">
      <w:pPr>
        <w:pStyle w:val="FootnoteText"/>
      </w:pPr>
      <w:r>
        <w:rPr>
          <w:rStyle w:val="FootnoteReference"/>
        </w:rPr>
        <w:footnoteRef/>
      </w:r>
      <w:r>
        <w:t xml:space="preserve"> MSF (2017) 2016 Logframe.</w:t>
      </w:r>
    </w:p>
  </w:footnote>
  <w:footnote w:id="15">
    <w:p w14:paraId="680C7AC3" w14:textId="7375C501" w:rsidR="00971E65" w:rsidRDefault="00971E65" w:rsidP="006141BE">
      <w:pPr>
        <w:pStyle w:val="FootnoteText"/>
      </w:pPr>
      <w:r>
        <w:rPr>
          <w:rStyle w:val="FootnoteReference"/>
        </w:rPr>
        <w:footnoteRef/>
      </w:r>
      <w:r>
        <w:t xml:space="preserve"> Unitaid (2016) First No Cost Extension: Letter of Agreement and Annexes. </w:t>
      </w:r>
    </w:p>
  </w:footnote>
  <w:footnote w:id="16">
    <w:p w14:paraId="3AF50175" w14:textId="150C3676" w:rsidR="00971E65" w:rsidRPr="00A903AF" w:rsidRDefault="00971E65">
      <w:pPr>
        <w:pStyle w:val="FootnoteText"/>
        <w:rPr>
          <w:lang w:val="en-US"/>
        </w:rPr>
      </w:pPr>
      <w:r>
        <w:rPr>
          <w:rStyle w:val="FootnoteReference"/>
        </w:rPr>
        <w:footnoteRef/>
      </w:r>
      <w:r>
        <w:t xml:space="preserve"> </w:t>
      </w:r>
      <w:r>
        <w:rPr>
          <w:lang w:val="en-US"/>
        </w:rPr>
        <w:t xml:space="preserve">This assessment is based on data availability under the project. </w:t>
      </w:r>
    </w:p>
  </w:footnote>
  <w:footnote w:id="17">
    <w:p w14:paraId="3B3F6F1C" w14:textId="6E54038E" w:rsidR="00971E65" w:rsidRPr="00E85B9C" w:rsidRDefault="00971E65">
      <w:pPr>
        <w:pStyle w:val="FootnoteText"/>
        <w:rPr>
          <w:lang w:val="en-US"/>
        </w:rPr>
      </w:pPr>
      <w:r>
        <w:rPr>
          <w:rStyle w:val="FootnoteReference"/>
        </w:rPr>
        <w:footnoteRef/>
      </w:r>
      <w:r>
        <w:t xml:space="preserve"> The grant was delivered over the period 2013-17, and hence it is appropriate to evaluate the relevance of the project in the context of the Unitaid Strategy for 2013-16. However, we also provide some comments on the continued relevance of the project in light of emerging priorities in the new 2017-21 Unitaid Strategy.</w:t>
      </w:r>
    </w:p>
  </w:footnote>
  <w:footnote w:id="18">
    <w:p w14:paraId="33FAC75A" w14:textId="3A2A87E0" w:rsidR="00971E65" w:rsidRDefault="00971E65">
      <w:pPr>
        <w:pStyle w:val="FootnoteText"/>
      </w:pPr>
      <w:r>
        <w:rPr>
          <w:rStyle w:val="FootnoteReference"/>
        </w:rPr>
        <w:footnoteRef/>
      </w:r>
      <w:r>
        <w:t xml:space="preserve"> </w:t>
      </w:r>
      <w:r w:rsidRPr="006C415A">
        <w:t>Unitaid (2013) Unitaid strategy 2013-2016</w:t>
      </w:r>
      <w:r>
        <w:t>, p.44</w:t>
      </w:r>
    </w:p>
  </w:footnote>
  <w:footnote w:id="19">
    <w:p w14:paraId="39861E7C" w14:textId="2DF1E020" w:rsidR="00971E65" w:rsidRPr="00900271" w:rsidRDefault="00971E65">
      <w:pPr>
        <w:pStyle w:val="FootnoteText"/>
        <w:rPr>
          <w:lang w:val="en-US"/>
        </w:rPr>
      </w:pPr>
      <w:r>
        <w:rPr>
          <w:rStyle w:val="FootnoteReference"/>
        </w:rPr>
        <w:footnoteRef/>
      </w:r>
      <w:r>
        <w:t xml:space="preserve"> Further, although not the primary objective, the project goes some way to addressing Strategic Objectives 2 and 3 on access to paediatric medicines and emerging regimens to improve treatment, given its scope includes EID testing, as well as understanding the need and feasibility of switching to second-line treatment respectively. </w:t>
      </w:r>
    </w:p>
  </w:footnote>
  <w:footnote w:id="20">
    <w:p w14:paraId="4644696E" w14:textId="270B82DD" w:rsidR="00971E65" w:rsidRDefault="00971E65" w:rsidP="00900271">
      <w:pPr>
        <w:pStyle w:val="FootnoteText"/>
      </w:pPr>
      <w:r>
        <w:rPr>
          <w:rStyle w:val="FootnoteReference"/>
        </w:rPr>
        <w:footnoteRef/>
      </w:r>
      <w:r>
        <w:t xml:space="preserve"> </w:t>
      </w:r>
      <w:r w:rsidRPr="006C415A">
        <w:t>Unitaid (2013) Unitaid strategy 2013-2016, p</w:t>
      </w:r>
      <w:r>
        <w:t>.29</w:t>
      </w:r>
    </w:p>
  </w:footnote>
  <w:footnote w:id="21">
    <w:p w14:paraId="2CE10A8E" w14:textId="0E1416AE" w:rsidR="00971E65" w:rsidRDefault="00971E65" w:rsidP="00C4146B">
      <w:pPr>
        <w:pStyle w:val="FootnoteText"/>
      </w:pPr>
      <w:r>
        <w:rPr>
          <w:rStyle w:val="FootnoteReference"/>
        </w:rPr>
        <w:footnoteRef/>
      </w:r>
      <w:r>
        <w:t xml:space="preserve"> Unitaid (2016), Unitaid 2017-2021 Strategy</w:t>
      </w:r>
    </w:p>
  </w:footnote>
  <w:footnote w:id="22">
    <w:p w14:paraId="5B659904" w14:textId="145FEF81" w:rsidR="00971E65" w:rsidRPr="00E85B9C" w:rsidRDefault="00971E65">
      <w:pPr>
        <w:pStyle w:val="FootnoteText"/>
        <w:rPr>
          <w:lang w:val="en-US"/>
        </w:rPr>
      </w:pPr>
      <w:r>
        <w:rPr>
          <w:rStyle w:val="FootnoteReference"/>
        </w:rPr>
        <w:footnoteRef/>
      </w:r>
      <w:r>
        <w:t xml:space="preserve"> While </w:t>
      </w:r>
      <w:r w:rsidRPr="00E85B9C">
        <w:t xml:space="preserve">multi-platforms were used </w:t>
      </w:r>
      <w:r>
        <w:t xml:space="preserve">under the grant, the </w:t>
      </w:r>
      <w:r w:rsidRPr="00E85B9C">
        <w:t>focus was on single platforms, or at least using multi-platforms for single use</w:t>
      </w:r>
      <w:r>
        <w:t xml:space="preserve">. For example, the grant piloted the Abbott technology which could be used for both VL and EID, but the focus was very much on VL for this grant with the exception of EID testing using the Abbott in DRC. Further </w:t>
      </w:r>
      <w:r w:rsidRPr="00E85B9C">
        <w:t>GeneXpert</w:t>
      </w:r>
      <w:r>
        <w:t xml:space="preserve"> was not used extensively within this grant (some use in DRC, Kenya, Malawi and Zimbabwe, mainly for research). </w:t>
      </w:r>
    </w:p>
  </w:footnote>
  <w:footnote w:id="23">
    <w:p w14:paraId="7B406D60" w14:textId="1964119B" w:rsidR="00971E65" w:rsidRPr="009A70D8" w:rsidRDefault="00971E65">
      <w:pPr>
        <w:pStyle w:val="FootnoteText"/>
        <w:rPr>
          <w:lang w:val="en-US"/>
        </w:rPr>
      </w:pPr>
      <w:r>
        <w:rPr>
          <w:rStyle w:val="FootnoteReference"/>
        </w:rPr>
        <w:footnoteRef/>
      </w:r>
      <w:r>
        <w:t xml:space="preserve"> </w:t>
      </w:r>
      <w:r>
        <w:rPr>
          <w:lang w:val="en-US"/>
        </w:rPr>
        <w:t xml:space="preserve">Additional details are provided in Annex D. </w:t>
      </w:r>
    </w:p>
  </w:footnote>
  <w:footnote w:id="24">
    <w:p w14:paraId="4C0B8CC1" w14:textId="0CE4CB0D" w:rsidR="00971E65" w:rsidRPr="00B152A2" w:rsidRDefault="00971E65" w:rsidP="001C3765">
      <w:pPr>
        <w:pStyle w:val="FootnoteText"/>
        <w:rPr>
          <w:lang w:val="en-US"/>
        </w:rPr>
      </w:pPr>
      <w:r>
        <w:rPr>
          <w:rStyle w:val="FootnoteReference"/>
        </w:rPr>
        <w:footnoteRef/>
      </w:r>
      <w:r>
        <w:t xml:space="preserve"> Our review of the project documentation for the MSF grant suggests that the objectives and scope were somewhat ill-defined, with ea</w:t>
      </w:r>
      <w:r w:rsidRPr="002A2816">
        <w:t>rlier project documentation referring to a degree of emphasis on impacting market suppliers and prices, whilst later documentation focus</w:t>
      </w:r>
      <w:r>
        <w:t>ed</w:t>
      </w:r>
      <w:r w:rsidRPr="002A2816">
        <w:t xml:space="preserve"> on operational research and evidence generation</w:t>
      </w:r>
      <w:r>
        <w:t>. This difference/ shift in emphasis however seems appropriate in line with the rest of Unitaid’s grant portfolio.</w:t>
      </w:r>
    </w:p>
  </w:footnote>
  <w:footnote w:id="25">
    <w:p w14:paraId="37FD92F1" w14:textId="538BE870" w:rsidR="00971E65" w:rsidRDefault="00971E65" w:rsidP="001C3765">
      <w:pPr>
        <w:pStyle w:val="FootnoteText"/>
      </w:pPr>
      <w:r>
        <w:rPr>
          <w:rStyle w:val="FootnoteReference"/>
        </w:rPr>
        <w:footnoteRef/>
      </w:r>
      <w:r>
        <w:t xml:space="preserve"> Unitaid (2013) Unitaid strategy </w:t>
      </w:r>
      <w:r w:rsidRPr="00E22487">
        <w:t>2013-2016</w:t>
      </w:r>
    </w:p>
  </w:footnote>
  <w:footnote w:id="26">
    <w:p w14:paraId="0499CCE1" w14:textId="3F6B7234" w:rsidR="00971E65" w:rsidRDefault="00971E65" w:rsidP="008C3E8D">
      <w:pPr>
        <w:pStyle w:val="FootnoteText"/>
      </w:pPr>
      <w:r>
        <w:rPr>
          <w:rStyle w:val="FootnoteReference"/>
        </w:rPr>
        <w:footnoteRef/>
      </w:r>
      <w:r>
        <w:t xml:space="preserve"> MSF (2012) Project Plan</w:t>
      </w:r>
    </w:p>
  </w:footnote>
  <w:footnote w:id="27">
    <w:p w14:paraId="5AB03CA5" w14:textId="55D2BF41" w:rsidR="00971E65" w:rsidRDefault="00971E65" w:rsidP="001C3765">
      <w:pPr>
        <w:pStyle w:val="FootnoteText"/>
      </w:pPr>
      <w:r>
        <w:rPr>
          <w:rStyle w:val="FootnoteReference"/>
        </w:rPr>
        <w:footnoteRef/>
      </w:r>
      <w:r>
        <w:t xml:space="preserve"> UNAIDS (2014) 90-90-90 An ambitious treatment target to help end the AIDS epidemic. </w:t>
      </w:r>
    </w:p>
  </w:footnote>
  <w:footnote w:id="28">
    <w:p w14:paraId="44EC92D2" w14:textId="4D50186B" w:rsidR="00971E65" w:rsidRDefault="00971E65" w:rsidP="008E278A">
      <w:pPr>
        <w:pStyle w:val="FootnoteText"/>
      </w:pPr>
      <w:r>
        <w:rPr>
          <w:rStyle w:val="FootnoteReference"/>
        </w:rPr>
        <w:footnoteRef/>
      </w:r>
      <w:r>
        <w:t xml:space="preserve"> T</w:t>
      </w:r>
      <w:r w:rsidRPr="00D353FE">
        <w:t xml:space="preserve">here were significant revisions to the budget throughout the project period, which reflected the </w:t>
      </w:r>
      <w:r>
        <w:t>re-alignment of the grant with changing technologies/ country plans and timelines</w:t>
      </w:r>
      <w:r w:rsidRPr="00D353FE">
        <w:t>.</w:t>
      </w:r>
    </w:p>
  </w:footnote>
  <w:footnote w:id="29">
    <w:p w14:paraId="229C5AA9" w14:textId="14C5AEFB" w:rsidR="00971E65" w:rsidRPr="00DA3C4C" w:rsidRDefault="00971E65">
      <w:pPr>
        <w:pStyle w:val="FootnoteText"/>
        <w:rPr>
          <w:lang w:val="en-US"/>
        </w:rPr>
      </w:pPr>
      <w:r>
        <w:rPr>
          <w:rStyle w:val="FootnoteReference"/>
        </w:rPr>
        <w:footnoteRef/>
      </w:r>
      <w:r>
        <w:t xml:space="preserve"> There was an overspend with regard to audit expenditure, with US$236,000 spent as compared with US$40,000 budgeted, i.e. 5.9x higher expenditure than planned, although it is noted that this represented a small proportion of the total value of the grant.</w:t>
      </w:r>
    </w:p>
  </w:footnote>
  <w:footnote w:id="30">
    <w:p w14:paraId="0B1A0D4B" w14:textId="6E6BD2A8" w:rsidR="00971E65" w:rsidRDefault="00971E65">
      <w:pPr>
        <w:pStyle w:val="FootnoteText"/>
      </w:pPr>
      <w:r>
        <w:rPr>
          <w:rStyle w:val="FootnoteReference"/>
        </w:rPr>
        <w:footnoteRef/>
      </w:r>
      <w:r>
        <w:t xml:space="preserve"> </w:t>
      </w:r>
      <w:r w:rsidRPr="007B091B">
        <w:t xml:space="preserve">Operating expenditure </w:t>
      </w:r>
      <w:r>
        <w:t xml:space="preserve">as per the 2012 Project Plan, and budget revision document, </w:t>
      </w:r>
      <w:r w:rsidRPr="007B091B">
        <w:t>comprises consulting, travel, training, meetings and publications costs.</w:t>
      </w:r>
    </w:p>
  </w:footnote>
  <w:footnote w:id="31">
    <w:p w14:paraId="3C6F7C01" w14:textId="5201CB0C" w:rsidR="00971E65" w:rsidRPr="009C1697" w:rsidRDefault="00971E65" w:rsidP="00491A46">
      <w:pPr>
        <w:pStyle w:val="FootnoteText"/>
      </w:pPr>
      <w:r w:rsidRPr="00247DA1">
        <w:rPr>
          <w:rStyle w:val="FootnoteReference"/>
        </w:rPr>
        <w:footnoteRef/>
      </w:r>
      <w:r w:rsidRPr="009C1697">
        <w:rPr>
          <w:rStyle w:val="FootnoteReference"/>
        </w:rPr>
        <w:t xml:space="preserve"> </w:t>
      </w:r>
      <w:r w:rsidRPr="009C1697">
        <w:t>MSF (2013) Annual Report</w:t>
      </w:r>
    </w:p>
  </w:footnote>
  <w:footnote w:id="32">
    <w:p w14:paraId="2605B036" w14:textId="333008FD" w:rsidR="00971E65" w:rsidRPr="009C1697" w:rsidRDefault="00971E65" w:rsidP="009C1697">
      <w:pPr>
        <w:pStyle w:val="FootnoteText"/>
      </w:pPr>
      <w:r w:rsidRPr="009C1697">
        <w:rPr>
          <w:rStyle w:val="FootnoteReference"/>
        </w:rPr>
        <w:footnoteRef/>
      </w:r>
      <w:r w:rsidRPr="009C1697">
        <w:rPr>
          <w:rStyle w:val="FootnoteReference"/>
        </w:rPr>
        <w:t xml:space="preserve"> </w:t>
      </w:r>
      <w:r w:rsidRPr="009C1697">
        <w:t xml:space="preserve">In certain project countries, difficulty in reaching agreements with </w:t>
      </w:r>
      <w:r>
        <w:t>MOH</w:t>
      </w:r>
      <w:r w:rsidRPr="009C1697">
        <w:t xml:space="preserve"> authorities on project-specific MOUs created additional challenges for implementation. For example, in South Africa, in KwaZulu Natal, MSF encountered barriers when attempting to discuss an MOU with the health authorities, which meant that no MOU had been signed by the end of 2013. As a result, MSF re-considered the South Africa activities planned through the grant, with a  change in province.</w:t>
      </w:r>
    </w:p>
  </w:footnote>
  <w:footnote w:id="33">
    <w:p w14:paraId="1BF4F893" w14:textId="4429D882" w:rsidR="00971E65" w:rsidRDefault="00971E65" w:rsidP="00491A46">
      <w:pPr>
        <w:pStyle w:val="FootnoteText"/>
      </w:pPr>
      <w:r w:rsidRPr="00247DA1">
        <w:rPr>
          <w:rStyle w:val="FootnoteReference"/>
        </w:rPr>
        <w:footnoteRef/>
      </w:r>
      <w:r w:rsidRPr="00247DA1">
        <w:t xml:space="preserve"> MSF (2013) Annual Report, p.12; MSF (2014) Annual Report, p.35.</w:t>
      </w:r>
    </w:p>
  </w:footnote>
  <w:footnote w:id="34">
    <w:p w14:paraId="3382AB61" w14:textId="106663CE" w:rsidR="00971E65" w:rsidRDefault="00971E65">
      <w:pPr>
        <w:pStyle w:val="FootnoteText"/>
      </w:pPr>
      <w:r>
        <w:rPr>
          <w:rStyle w:val="FootnoteReference"/>
        </w:rPr>
        <w:footnoteRef/>
      </w:r>
      <w:r>
        <w:t xml:space="preserve"> As referenced for first time in Annual Reports. </w:t>
      </w:r>
    </w:p>
  </w:footnote>
  <w:footnote w:id="35">
    <w:p w14:paraId="547BBAA8" w14:textId="74899C39" w:rsidR="00971E65" w:rsidRPr="00811139" w:rsidRDefault="00971E65">
      <w:pPr>
        <w:pStyle w:val="FootnoteText"/>
        <w:rPr>
          <w:lang w:val="en-US"/>
        </w:rPr>
      </w:pPr>
      <w:r>
        <w:rPr>
          <w:rStyle w:val="FootnoteReference"/>
        </w:rPr>
        <w:footnoteRef/>
      </w:r>
      <w:r>
        <w:t xml:space="preserve"> Annex E includes the revised logframe, as well as the indicators that were dropped during the project.</w:t>
      </w:r>
    </w:p>
  </w:footnote>
  <w:footnote w:id="36">
    <w:p w14:paraId="57672E41" w14:textId="77777777" w:rsidR="00971E65" w:rsidRDefault="00971E65" w:rsidP="008E278A">
      <w:pPr>
        <w:pStyle w:val="FootnoteText"/>
      </w:pPr>
      <w:r>
        <w:rPr>
          <w:rStyle w:val="FootnoteReference"/>
        </w:rPr>
        <w:footnoteRef/>
      </w:r>
      <w:r>
        <w:t xml:space="preserve"> The initial goal was the </w:t>
      </w:r>
      <w:r w:rsidRPr="00DF4442">
        <w:t>number and percentage of patients initiated on ART after same-day PoC CD4 testing</w:t>
      </w:r>
      <w:r>
        <w:t xml:space="preserve">. </w:t>
      </w:r>
    </w:p>
  </w:footnote>
  <w:footnote w:id="37">
    <w:p w14:paraId="2C664F41" w14:textId="77777777" w:rsidR="00971E65" w:rsidRDefault="00971E65" w:rsidP="008E278A">
      <w:pPr>
        <w:pStyle w:val="FootnoteText"/>
      </w:pPr>
      <w:r>
        <w:rPr>
          <w:rStyle w:val="FootnoteReference"/>
        </w:rPr>
        <w:footnoteRef/>
      </w:r>
      <w:r>
        <w:t xml:space="preserve"> </w:t>
      </w:r>
      <w:r w:rsidRPr="00A826C0">
        <w:t>WHO (2013) Consolidated guidelines on the use of antiretroviral drugs for treating and preventing HIV infection: recommendations for a public health approach</w:t>
      </w:r>
      <w:r>
        <w:t>, p.26.</w:t>
      </w:r>
    </w:p>
  </w:footnote>
  <w:footnote w:id="38">
    <w:p w14:paraId="010A3EAA" w14:textId="33234C6F" w:rsidR="00971E65" w:rsidRPr="009E6A21" w:rsidRDefault="00971E65">
      <w:pPr>
        <w:pStyle w:val="FootnoteText"/>
        <w:rPr>
          <w:lang w:val="en-US"/>
        </w:rPr>
      </w:pPr>
      <w:r>
        <w:rPr>
          <w:rStyle w:val="FootnoteReference"/>
        </w:rPr>
        <w:footnoteRef/>
      </w:r>
      <w:r>
        <w:t xml:space="preserve"> It has been difficult to track actual tests procured by device from the available progress reports and hence this information is not presented below.</w:t>
      </w:r>
    </w:p>
  </w:footnote>
  <w:footnote w:id="39">
    <w:p w14:paraId="4600739C" w14:textId="6730FEC9" w:rsidR="00971E65" w:rsidRPr="003A3E88" w:rsidRDefault="00971E65">
      <w:pPr>
        <w:pStyle w:val="FootnoteText"/>
        <w:rPr>
          <w:lang w:val="en-US"/>
        </w:rPr>
      </w:pPr>
      <w:r>
        <w:rPr>
          <w:rStyle w:val="FootnoteReference"/>
        </w:rPr>
        <w:footnoteRef/>
      </w:r>
      <w:r>
        <w:t xml:space="preserve"> SAMBA I would ultimately become validated for EID, but by Jan 2016 (first NCE) it was yet to be validated, according to device summary in the annex to the agreement.</w:t>
      </w:r>
    </w:p>
  </w:footnote>
  <w:footnote w:id="40">
    <w:p w14:paraId="3672E3CF" w14:textId="037D500D" w:rsidR="00971E65" w:rsidRDefault="00971E65" w:rsidP="008E278A">
      <w:pPr>
        <w:pStyle w:val="FootnoteText"/>
      </w:pPr>
      <w:r>
        <w:rPr>
          <w:rStyle w:val="FootnoteReference"/>
        </w:rPr>
        <w:footnoteRef/>
      </w:r>
      <w:r>
        <w:t xml:space="preserve"> MSF (2012) Project Plan notes this to be </w:t>
      </w:r>
      <w:r w:rsidRPr="00CE24EB">
        <w:t>362,100 tests</w:t>
      </w:r>
      <w:r>
        <w:t>.</w:t>
      </w:r>
    </w:p>
  </w:footnote>
  <w:footnote w:id="41">
    <w:p w14:paraId="4F78FB54" w14:textId="0E72E774" w:rsidR="00971E65" w:rsidRDefault="00971E65">
      <w:pPr>
        <w:pStyle w:val="FootnoteText"/>
      </w:pPr>
      <w:r>
        <w:rPr>
          <w:rStyle w:val="FootnoteReference"/>
        </w:rPr>
        <w:footnoteRef/>
      </w:r>
      <w:r>
        <w:t xml:space="preserve"> We note here that there is a discrepancy in the total number of CD4 tests performed between the End of Project report and the 2016 Logframe, which provides the latest possible data on the number of tests performed by country. The total figure in the End of Project report is 71,125. In the 2016 logframe, the total figure is </w:t>
      </w:r>
      <w:r w:rsidRPr="00EB716F">
        <w:t>70,097</w:t>
      </w:r>
      <w:r>
        <w:t xml:space="preserve">. The 69% percentage figure uses the 2016 logframe figure for the figure of </w:t>
      </w:r>
      <w:r w:rsidRPr="0011672A">
        <w:t>49,430</w:t>
      </w:r>
      <w:r>
        <w:t xml:space="preserve"> CD4 tests performed in Swaziland as the numerator, and the End of Project report figure of 71,125 for total tests performed as the denominator.</w:t>
      </w:r>
    </w:p>
  </w:footnote>
  <w:footnote w:id="42">
    <w:p w14:paraId="4FBBC8D9" w14:textId="7F0A1C6E" w:rsidR="00971E65" w:rsidRDefault="00971E65">
      <w:pPr>
        <w:pStyle w:val="FootnoteText"/>
      </w:pPr>
      <w:r>
        <w:rPr>
          <w:rStyle w:val="FootnoteReference"/>
        </w:rPr>
        <w:footnoteRef/>
      </w:r>
      <w:r>
        <w:t xml:space="preserve"> </w:t>
      </w:r>
      <w:r w:rsidRPr="006801D1">
        <w:t xml:space="preserve">Roberts et al. (2016) Scale-up of routine viral load testing in resource-poor settings: current and future implementation challenges, Clinical Infectious Diseases, 2016, </w:t>
      </w:r>
      <w:hyperlink r:id="rId1" w:history="1">
        <w:r w:rsidRPr="004028C7">
          <w:rPr>
            <w:rStyle w:val="Hyperlink"/>
          </w:rPr>
          <w:t>https://doi.org/10.1093/cid/ciw001</w:t>
        </w:r>
      </w:hyperlink>
      <w:r>
        <w:t xml:space="preserve"> </w:t>
      </w:r>
    </w:p>
  </w:footnote>
  <w:footnote w:id="43">
    <w:p w14:paraId="5B412C8F" w14:textId="704DA1BF" w:rsidR="00971E65" w:rsidRDefault="00971E65" w:rsidP="008E278A">
      <w:pPr>
        <w:pStyle w:val="FootnoteText"/>
      </w:pPr>
      <w:r>
        <w:rPr>
          <w:rStyle w:val="FootnoteReference"/>
        </w:rPr>
        <w:footnoteRef/>
      </w:r>
      <w:r>
        <w:t xml:space="preserve"> MSF (2013) Annual Report, p.54.</w:t>
      </w:r>
    </w:p>
  </w:footnote>
  <w:footnote w:id="44">
    <w:p w14:paraId="14EC0C4A" w14:textId="77777777" w:rsidR="00971E65" w:rsidRPr="004D5172" w:rsidRDefault="00971E65" w:rsidP="00723066">
      <w:pPr>
        <w:pStyle w:val="FootnoteText"/>
        <w:rPr>
          <w:lang w:val="en-US"/>
        </w:rPr>
      </w:pPr>
      <w:r>
        <w:rPr>
          <w:rStyle w:val="FootnoteReference"/>
        </w:rPr>
        <w:footnoteRef/>
      </w:r>
      <w:r>
        <w:t xml:space="preserve"> </w:t>
      </w:r>
      <w:r>
        <w:rPr>
          <w:lang w:val="en-US"/>
        </w:rPr>
        <w:t xml:space="preserve">Malawi stakeholders informed us that there are 121 PIMA in the country, of which CHAI has bought 70 machines. </w:t>
      </w:r>
    </w:p>
  </w:footnote>
  <w:footnote w:id="45">
    <w:p w14:paraId="6BFE1EE4" w14:textId="32799460" w:rsidR="00971E65" w:rsidRPr="00911639" w:rsidRDefault="00971E65" w:rsidP="00EA6273">
      <w:pPr>
        <w:pStyle w:val="FootnoteText"/>
      </w:pPr>
      <w:r>
        <w:rPr>
          <w:rStyle w:val="FootnoteReference"/>
        </w:rPr>
        <w:footnoteRef/>
      </w:r>
      <w:r>
        <w:t xml:space="preserve"> Based on Ritchie et al. (2016) Performance evaluation of the point-of-care SAMBA I and II HIV-1 Qual whole tests</w:t>
      </w:r>
      <w:r w:rsidRPr="00911639">
        <w:t xml:space="preserve"> as well as in-country consultations.</w:t>
      </w:r>
    </w:p>
  </w:footnote>
  <w:footnote w:id="46">
    <w:p w14:paraId="5F2CE4EE" w14:textId="505F7BB9" w:rsidR="00971E65" w:rsidRDefault="00971E65">
      <w:pPr>
        <w:pStyle w:val="FootnoteText"/>
      </w:pPr>
      <w:r>
        <w:rPr>
          <w:rStyle w:val="FootnoteReference"/>
        </w:rPr>
        <w:footnoteRef/>
      </w:r>
      <w:r>
        <w:t xml:space="preserve"> </w:t>
      </w:r>
      <w:r w:rsidRPr="00A86536">
        <w:t>Country consultations provided this figure which is less than that stated in the End of Project Report (US$43).</w:t>
      </w:r>
    </w:p>
  </w:footnote>
  <w:footnote w:id="47">
    <w:p w14:paraId="22175BA5" w14:textId="4CFC7A49" w:rsidR="00971E65" w:rsidRDefault="00971E65" w:rsidP="00723066">
      <w:pPr>
        <w:pStyle w:val="FootnoteText"/>
      </w:pPr>
      <w:r>
        <w:rPr>
          <w:rStyle w:val="FootnoteReference"/>
        </w:rPr>
        <w:footnoteRef/>
      </w:r>
      <w:r>
        <w:t xml:space="preserve"> MSF (2017) End of Project Report </w:t>
      </w:r>
    </w:p>
  </w:footnote>
  <w:footnote w:id="48">
    <w:p w14:paraId="71C58C65" w14:textId="0455BB22" w:rsidR="00971E65" w:rsidRDefault="00971E65">
      <w:pPr>
        <w:pStyle w:val="FootnoteText"/>
      </w:pPr>
      <w:r>
        <w:rPr>
          <w:rStyle w:val="FootnoteReference"/>
        </w:rPr>
        <w:footnoteRef/>
      </w:r>
      <w:r>
        <w:t xml:space="preserve"> Initial TAT is based on consultations with MSF and health facility staff; end of project TAT based on End of Project report. </w:t>
      </w:r>
    </w:p>
  </w:footnote>
  <w:footnote w:id="49">
    <w:p w14:paraId="225F66B0" w14:textId="76D3ACA9" w:rsidR="00971E65" w:rsidRDefault="00971E65">
      <w:pPr>
        <w:pStyle w:val="FootnoteText"/>
      </w:pPr>
      <w:r>
        <w:rPr>
          <w:rStyle w:val="FootnoteReference"/>
        </w:rPr>
        <w:footnoteRef/>
      </w:r>
      <w:r>
        <w:t xml:space="preserve"> Based on consultations MSF OCP</w:t>
      </w:r>
    </w:p>
  </w:footnote>
  <w:footnote w:id="50">
    <w:p w14:paraId="39DEEDD0" w14:textId="190F79FD" w:rsidR="00971E65" w:rsidRDefault="00971E65">
      <w:pPr>
        <w:pStyle w:val="FootnoteText"/>
      </w:pPr>
      <w:r>
        <w:rPr>
          <w:rStyle w:val="FootnoteReference"/>
        </w:rPr>
        <w:footnoteRef/>
      </w:r>
      <w:r>
        <w:t xml:space="preserve"> </w:t>
      </w:r>
      <w:r w:rsidRPr="00A86536">
        <w:t>MSF (2017) End of Project Report</w:t>
      </w:r>
    </w:p>
  </w:footnote>
  <w:footnote w:id="51">
    <w:p w14:paraId="5F14F1EE" w14:textId="4DE034AA" w:rsidR="00971E65" w:rsidRDefault="00971E65">
      <w:pPr>
        <w:pStyle w:val="FootnoteText"/>
      </w:pPr>
      <w:r>
        <w:rPr>
          <w:rStyle w:val="FootnoteReference"/>
        </w:rPr>
        <w:footnoteRef/>
      </w:r>
      <w:r>
        <w:t xml:space="preserve"> Based on consultations with MSF OCP</w:t>
      </w:r>
    </w:p>
  </w:footnote>
  <w:footnote w:id="52">
    <w:p w14:paraId="7332A3DE" w14:textId="1989E121" w:rsidR="00971E65" w:rsidRPr="00D314BD" w:rsidRDefault="00971E65" w:rsidP="00723066">
      <w:pPr>
        <w:pStyle w:val="FootnoteText"/>
        <w:jc w:val="left"/>
      </w:pPr>
      <w:r w:rsidRPr="00D314BD">
        <w:rPr>
          <w:rStyle w:val="FootnoteReference"/>
        </w:rPr>
        <w:footnoteRef/>
      </w:r>
      <w:r>
        <w:t xml:space="preserve">  </w:t>
      </w:r>
      <w:r w:rsidRPr="00491EE5">
        <w:t xml:space="preserve">Schramm, B. (2017) Understanding </w:t>
      </w:r>
      <w:r>
        <w:t>V</w:t>
      </w:r>
      <w:r w:rsidRPr="00491EE5">
        <w:t xml:space="preserve">irological </w:t>
      </w:r>
      <w:r>
        <w:t>F</w:t>
      </w:r>
      <w:r w:rsidRPr="00491EE5">
        <w:t xml:space="preserve">ailure </w:t>
      </w:r>
      <w:r>
        <w:t>A</w:t>
      </w:r>
      <w:r w:rsidRPr="00491EE5">
        <w:t xml:space="preserve">mong </w:t>
      </w:r>
      <w:r>
        <w:t>A</w:t>
      </w:r>
      <w:r w:rsidRPr="00491EE5">
        <w:t xml:space="preserve">dolescents </w:t>
      </w:r>
      <w:r>
        <w:t>L</w:t>
      </w:r>
      <w:r w:rsidRPr="00491EE5">
        <w:t xml:space="preserve">iving with HIV: a cross-sectional assessment </w:t>
      </w:r>
      <w:r>
        <w:t>and</w:t>
      </w:r>
      <w:r w:rsidRPr="00491EE5">
        <w:t xml:space="preserve"> a qualitative study</w:t>
      </w:r>
      <w:r>
        <w:t>.</w:t>
      </w:r>
    </w:p>
  </w:footnote>
  <w:footnote w:id="53">
    <w:p w14:paraId="2551C582" w14:textId="6B2E0F43" w:rsidR="00971E65" w:rsidRDefault="00971E65">
      <w:pPr>
        <w:pStyle w:val="FootnoteText"/>
      </w:pPr>
      <w:r>
        <w:rPr>
          <w:rStyle w:val="FootnoteReference"/>
        </w:rPr>
        <w:footnoteRef/>
      </w:r>
      <w:r>
        <w:t xml:space="preserve"> </w:t>
      </w:r>
      <w:r w:rsidRPr="00A86536">
        <w:t>MSF (2017) End of Project Report</w:t>
      </w:r>
    </w:p>
  </w:footnote>
  <w:footnote w:id="54">
    <w:p w14:paraId="7D4D6A56" w14:textId="5C2B8B89" w:rsidR="00971E65" w:rsidRDefault="00971E65">
      <w:pPr>
        <w:pStyle w:val="FootnoteText"/>
      </w:pPr>
      <w:r>
        <w:rPr>
          <w:rStyle w:val="FootnoteReference"/>
        </w:rPr>
        <w:footnoteRef/>
      </w:r>
      <w:r>
        <w:t xml:space="preserve"> Based on consultations with MSF OCP</w:t>
      </w:r>
    </w:p>
  </w:footnote>
  <w:footnote w:id="55">
    <w:p w14:paraId="04D90363" w14:textId="595B06EB" w:rsidR="00971E65" w:rsidRDefault="00971E65">
      <w:pPr>
        <w:pStyle w:val="FootnoteText"/>
      </w:pPr>
      <w:r>
        <w:rPr>
          <w:rStyle w:val="FootnoteReference"/>
        </w:rPr>
        <w:footnoteRef/>
      </w:r>
      <w:r>
        <w:t xml:space="preserve"> Based on consultations with health facility staff and MSF OCP</w:t>
      </w:r>
    </w:p>
  </w:footnote>
  <w:footnote w:id="56">
    <w:p w14:paraId="4730B9C7" w14:textId="77777777" w:rsidR="00971E65" w:rsidRDefault="00971E65" w:rsidP="008E278A">
      <w:pPr>
        <w:pStyle w:val="FootnoteText"/>
      </w:pPr>
      <w:r>
        <w:rPr>
          <w:rStyle w:val="FootnoteReference"/>
        </w:rPr>
        <w:footnoteRef/>
      </w:r>
      <w:r>
        <w:t xml:space="preserve"> CHAI (2016) Assessing Implementation of Models of Differentiated Care For HIV Service Delivery in Malawi: Evidence Brief, September 2016, p.1.</w:t>
      </w:r>
    </w:p>
  </w:footnote>
  <w:footnote w:id="57">
    <w:p w14:paraId="560D6953" w14:textId="22E90365" w:rsidR="00971E65" w:rsidRDefault="00971E65">
      <w:pPr>
        <w:pStyle w:val="FootnoteText"/>
      </w:pPr>
      <w:r>
        <w:rPr>
          <w:rStyle w:val="FootnoteReference"/>
        </w:rPr>
        <w:footnoteRef/>
      </w:r>
      <w:r>
        <w:t xml:space="preserve"> Based on consultations with MSF OCP</w:t>
      </w:r>
    </w:p>
  </w:footnote>
  <w:footnote w:id="58">
    <w:p w14:paraId="7B5A222E" w14:textId="77777777" w:rsidR="00971E65" w:rsidRPr="00E32DD4" w:rsidRDefault="00971E65" w:rsidP="00723066">
      <w:pPr>
        <w:pStyle w:val="FootnoteText"/>
        <w:rPr>
          <w:lang w:val="en-US"/>
        </w:rPr>
      </w:pPr>
      <w:r>
        <w:rPr>
          <w:rStyle w:val="FootnoteReference"/>
        </w:rPr>
        <w:footnoteRef/>
      </w:r>
      <w:r>
        <w:t xml:space="preserve"> </w:t>
      </w:r>
      <w:r>
        <w:rPr>
          <w:lang w:val="en-US"/>
        </w:rPr>
        <w:t xml:space="preserve">It was also noted that turnover of MSF country directors created challenges in the programme implementation and traction. Further, MSF had challenges with lab staff retention, and had to offer higher than market rate for salaries in order to retain them. </w:t>
      </w:r>
    </w:p>
  </w:footnote>
  <w:footnote w:id="59">
    <w:p w14:paraId="5137BA99" w14:textId="1B70375A" w:rsidR="00971E65" w:rsidRPr="0045491F" w:rsidRDefault="00971E65" w:rsidP="0045491F">
      <w:pPr>
        <w:pStyle w:val="FootnoteText"/>
        <w:rPr>
          <w:rStyle w:val="FootnoteReference"/>
        </w:rPr>
      </w:pPr>
      <w:r>
        <w:rPr>
          <w:rStyle w:val="FootnoteReference"/>
        </w:rPr>
        <w:footnoteRef/>
      </w:r>
      <w:r w:rsidRPr="0045491F">
        <w:rPr>
          <w:rStyle w:val="FootnoteReference"/>
        </w:rPr>
        <w:t xml:space="preserve"> </w:t>
      </w:r>
      <w:r w:rsidRPr="0045491F">
        <w:rPr>
          <w:lang w:val="en-US"/>
        </w:rPr>
        <w:t xml:space="preserve">Within Malawi, MSF coordinated with other </w:t>
      </w:r>
      <w:r>
        <w:rPr>
          <w:lang w:val="en-US"/>
        </w:rPr>
        <w:t>Unitaid</w:t>
      </w:r>
      <w:r w:rsidRPr="0045491F">
        <w:rPr>
          <w:lang w:val="en-US"/>
        </w:rPr>
        <w:t xml:space="preserve"> grantees, especially between CHAI and OCP with regards to POC devices. Duplication was avoided through the following ways: (i) CHAI focused more on EID than VL through conducting evaluations and pilots on Alere, as well as the GeneXpert platform. In contrast, MSF focused more on VL testing on the SAMBA, and shared lessons with CHAI. MSF asked CHAI to conduct an independent evaluation of POC devices (GeneXert, SAMBA and Alere) in order to assist partners regarding which one to use. In addition, OCP coordinated with DRW and they both shared evidence, publications, and worked together to a certain degree to lobby the government. However, as noted above, further lobbying could possibly have been done.</w:t>
      </w:r>
      <w:r w:rsidRPr="0045491F">
        <w:rPr>
          <w:rStyle w:val="FootnoteReference"/>
        </w:rPr>
        <w:t xml:space="preserve"> </w:t>
      </w:r>
    </w:p>
    <w:p w14:paraId="149F74D3" w14:textId="07863B20" w:rsidR="00971E65" w:rsidRPr="0045491F" w:rsidRDefault="00971E65">
      <w:pPr>
        <w:pStyle w:val="FootnoteText"/>
        <w:rPr>
          <w:lang w:val="en-US"/>
        </w:rPr>
      </w:pPr>
    </w:p>
  </w:footnote>
  <w:footnote w:id="60">
    <w:p w14:paraId="0114AA1C" w14:textId="1247274D" w:rsidR="00971E65" w:rsidRDefault="00971E65">
      <w:pPr>
        <w:pStyle w:val="FootnoteText"/>
      </w:pPr>
      <w:r>
        <w:rPr>
          <w:rStyle w:val="FootnoteReference"/>
        </w:rPr>
        <w:footnoteRef/>
      </w:r>
      <w:r>
        <w:t xml:space="preserve"> Annual Report 2013</w:t>
      </w:r>
    </w:p>
  </w:footnote>
  <w:footnote w:id="61">
    <w:p w14:paraId="217E82D5" w14:textId="034624FD" w:rsidR="00971E65" w:rsidRDefault="00971E65">
      <w:pPr>
        <w:pStyle w:val="FootnoteText"/>
      </w:pPr>
      <w:r>
        <w:rPr>
          <w:rStyle w:val="FootnoteReference"/>
        </w:rPr>
        <w:footnoteRef/>
      </w:r>
      <w:r>
        <w:t xml:space="preserve"> Annual report 2013 and consultations</w:t>
      </w:r>
    </w:p>
  </w:footnote>
  <w:footnote w:id="62">
    <w:p w14:paraId="43DEE392" w14:textId="77777777" w:rsidR="00971E65" w:rsidRDefault="00971E65" w:rsidP="008E278A">
      <w:pPr>
        <w:pStyle w:val="FootnoteText"/>
      </w:pPr>
      <w:r>
        <w:rPr>
          <w:rStyle w:val="FootnoteReference"/>
        </w:rPr>
        <w:footnoteRef/>
      </w:r>
      <w:r>
        <w:t xml:space="preserve"> MSF (2017) End of Project Report</w:t>
      </w:r>
    </w:p>
  </w:footnote>
  <w:footnote w:id="63">
    <w:p w14:paraId="0DCD2677" w14:textId="2405C4FA" w:rsidR="00971E65" w:rsidRDefault="00971E65">
      <w:pPr>
        <w:pStyle w:val="FootnoteText"/>
      </w:pPr>
      <w:r>
        <w:rPr>
          <w:rStyle w:val="FootnoteReference"/>
        </w:rPr>
        <w:footnoteRef/>
      </w:r>
      <w:r>
        <w:t xml:space="preserve"> </w:t>
      </w:r>
      <w:r w:rsidRPr="00753C8A">
        <w:t>MSF (2016) Vol. 8: Making Viral Load Routine: Part 1 Programmatic Strategies.</w:t>
      </w:r>
    </w:p>
  </w:footnote>
  <w:footnote w:id="64">
    <w:p w14:paraId="48240329" w14:textId="7A7454B7" w:rsidR="00971E65" w:rsidRDefault="00971E65" w:rsidP="00FC64E4">
      <w:pPr>
        <w:pStyle w:val="FootnoteText"/>
      </w:pPr>
      <w:r>
        <w:rPr>
          <w:rStyle w:val="FootnoteReference"/>
        </w:rPr>
        <w:footnoteRef/>
      </w:r>
      <w:r>
        <w:t xml:space="preserve"> Decroo et al (2013) Scaling Up Community ART Groups in Mozambique</w:t>
      </w:r>
      <w:r w:rsidRPr="00BE21E8">
        <w:rPr>
          <w:i/>
        </w:rPr>
        <w:t>.</w:t>
      </w:r>
      <w:r>
        <w:t xml:space="preserve"> </w:t>
      </w:r>
    </w:p>
  </w:footnote>
  <w:footnote w:id="65">
    <w:p w14:paraId="5113ED9F" w14:textId="3B2F35A0" w:rsidR="00971E65" w:rsidRPr="00E10BAE" w:rsidRDefault="00971E65">
      <w:pPr>
        <w:pStyle w:val="FootnoteText"/>
        <w:rPr>
          <w:lang w:val="en-US"/>
        </w:rPr>
      </w:pPr>
      <w:r>
        <w:rPr>
          <w:rStyle w:val="FootnoteReference"/>
        </w:rPr>
        <w:footnoteRef/>
      </w:r>
      <w:r w:rsidRPr="007405D6">
        <w:t xml:space="preserve"> Unfortunately, MSF was unable to generate sufficient commitment among VL actors in the country to develop a concrete business plan in line with the INCLUSIVE recommendations. The concept will remain an important advocacy tool for MSF, though, both in Malawi and in neighbouring countries where the setting up of a well-functioning VL landscape encounters similar challenges</w:t>
      </w:r>
      <w:r>
        <w:t>.</w:t>
      </w:r>
    </w:p>
  </w:footnote>
  <w:footnote w:id="66">
    <w:p w14:paraId="58CD3E3D" w14:textId="7233FA44" w:rsidR="00971E65" w:rsidRDefault="00971E65" w:rsidP="00F054F3">
      <w:pPr>
        <w:pStyle w:val="FootnoteText"/>
      </w:pPr>
      <w:r>
        <w:rPr>
          <w:rStyle w:val="FootnoteReference"/>
        </w:rPr>
        <w:footnoteRef/>
      </w:r>
      <w:r>
        <w:t xml:space="preserve">  MSF (2017) 2016 Annual Logframe.</w:t>
      </w:r>
    </w:p>
  </w:footnote>
  <w:footnote w:id="67">
    <w:p w14:paraId="54D9A112" w14:textId="3586A233" w:rsidR="00971E65" w:rsidRDefault="00971E65" w:rsidP="00F054F3">
      <w:pPr>
        <w:pStyle w:val="FootnoteText"/>
      </w:pPr>
      <w:r>
        <w:rPr>
          <w:rStyle w:val="FootnoteReference"/>
        </w:rPr>
        <w:footnoteRef/>
      </w:r>
      <w:r w:rsidDel="00F22303">
        <w:t xml:space="preserve"> </w:t>
      </w:r>
      <w:r>
        <w:t>The figure for the number of viral load tests is drawn from MSF (2016) Annual Logframe. The figures for the number of ART sites, the size of the ART cohort and the coverage rate are drawn from MSF (2016) Vol. 8: Making Viral Load Routine: Part 1 Programmatic Strategies, p.10.</w:t>
      </w:r>
    </w:p>
  </w:footnote>
  <w:footnote w:id="68">
    <w:p w14:paraId="0EC31738" w14:textId="77777777" w:rsidR="00971E65" w:rsidRDefault="00971E65" w:rsidP="00F054F3">
      <w:pPr>
        <w:pStyle w:val="FootnoteText"/>
      </w:pPr>
      <w:r>
        <w:rPr>
          <w:rStyle w:val="FootnoteReference"/>
        </w:rPr>
        <w:footnoteRef/>
      </w:r>
      <w:r>
        <w:t xml:space="preserve"> Ibid.</w:t>
      </w:r>
    </w:p>
  </w:footnote>
  <w:footnote w:id="69">
    <w:p w14:paraId="6D5E7D4F" w14:textId="77777777" w:rsidR="00971E65" w:rsidRDefault="00971E65" w:rsidP="00F054F3">
      <w:pPr>
        <w:pStyle w:val="FootnoteText"/>
      </w:pPr>
      <w:r>
        <w:rPr>
          <w:rStyle w:val="FootnoteReference"/>
        </w:rPr>
        <w:footnoteRef/>
      </w:r>
      <w:r>
        <w:t xml:space="preserve"> No data was available </w:t>
      </w:r>
      <w:r w:rsidRPr="00680303">
        <w:t>for the Chi</w:t>
      </w:r>
      <w:r>
        <w:t>k</w:t>
      </w:r>
      <w:r w:rsidRPr="00680303">
        <w:t>omba site</w:t>
      </w:r>
      <w:r>
        <w:t xml:space="preserve"> from 2016 on the size of the ART cohort, coverage rate and number of ART sites. Figures provided for 2015 in the 2015 Annual report present the following: 6,015 viral load tests performed out of an estimated number of 8,216 viral load tests, amounting to a coverage rate of 73%. </w:t>
      </w:r>
    </w:p>
  </w:footnote>
  <w:footnote w:id="70">
    <w:p w14:paraId="517C2E95" w14:textId="77777777" w:rsidR="00971E65" w:rsidRPr="00F279FF" w:rsidRDefault="00971E65" w:rsidP="00564565">
      <w:pPr>
        <w:pStyle w:val="FootnoteText"/>
        <w:rPr>
          <w:lang w:val="en-US"/>
        </w:rPr>
      </w:pPr>
      <w:r>
        <w:rPr>
          <w:rStyle w:val="FootnoteReference"/>
        </w:rPr>
        <w:footnoteRef/>
      </w:r>
      <w:r>
        <w:t xml:space="preserve"> </w:t>
      </w:r>
      <w:r>
        <w:rPr>
          <w:lang w:val="en-US"/>
        </w:rPr>
        <w:t>Also recognized in the 2013 MSF progress report which states that majority of the sites focus on VL testing in central labs with high throughput (BM, Roche and Abbott) while fewer sites were using POC VL - Samba (Malawi-C and Uganda)</w:t>
      </w:r>
    </w:p>
  </w:footnote>
  <w:footnote w:id="71">
    <w:p w14:paraId="463D9143" w14:textId="77777777" w:rsidR="00971E65" w:rsidRDefault="00971E65" w:rsidP="00997C27">
      <w:pPr>
        <w:pStyle w:val="FootnoteText"/>
      </w:pPr>
      <w:r>
        <w:rPr>
          <w:rStyle w:val="FootnoteReference"/>
        </w:rPr>
        <w:footnoteRef/>
      </w:r>
      <w:r>
        <w:t xml:space="preserve"> MSF (2017) End of Project Report</w:t>
      </w:r>
    </w:p>
  </w:footnote>
  <w:footnote w:id="72">
    <w:p w14:paraId="42FA96CC" w14:textId="77777777" w:rsidR="00971E65" w:rsidRDefault="00971E65" w:rsidP="00997C27">
      <w:pPr>
        <w:pStyle w:val="FootnoteText"/>
      </w:pPr>
      <w:r>
        <w:rPr>
          <w:rStyle w:val="FootnoteReference"/>
        </w:rPr>
        <w:footnoteRef/>
      </w:r>
      <w:r>
        <w:t xml:space="preserve"> MSF (2017) End of Project Report</w:t>
      </w:r>
    </w:p>
  </w:footnote>
  <w:footnote w:id="73">
    <w:p w14:paraId="2277F9AF" w14:textId="2048232C" w:rsidR="00971E65" w:rsidRDefault="00971E65" w:rsidP="00997C27">
      <w:pPr>
        <w:pStyle w:val="FootnoteText"/>
      </w:pPr>
      <w:r>
        <w:rPr>
          <w:rStyle w:val="FootnoteReference"/>
        </w:rPr>
        <w:footnoteRef/>
      </w:r>
      <w:r>
        <w:t xml:space="preserve"> MOH Malawi (2015) Malawi HIV Viral Load Scale up Strategic and Implementation Plan 2015 to 2018, it notes that this will be scaled up in “s</w:t>
      </w:r>
      <w:r w:rsidRPr="0027173A">
        <w:t>upport to balanced VL testing platforms between conventional and POC, if POC devices are considered beneficial to the Malawian VL Program</w:t>
      </w:r>
      <w:r>
        <w:t>”. Our understanding is that there is a draft plan for this to be scaled up.</w:t>
      </w:r>
    </w:p>
  </w:footnote>
  <w:footnote w:id="74">
    <w:p w14:paraId="6FB285CA" w14:textId="0A7A0875" w:rsidR="00971E65" w:rsidRDefault="00971E65" w:rsidP="00997C27">
      <w:pPr>
        <w:pStyle w:val="FootnoteText"/>
      </w:pPr>
      <w:r>
        <w:rPr>
          <w:rStyle w:val="FootnoteReference"/>
        </w:rPr>
        <w:footnoteRef/>
      </w:r>
      <w:r>
        <w:t xml:space="preserve"> MOH Malawi (2015) Malawi HIV Viral Load Scale up Strategic and Implementation Plan 2015 to 2018</w:t>
      </w:r>
    </w:p>
  </w:footnote>
  <w:footnote w:id="75">
    <w:p w14:paraId="2EC380B5" w14:textId="06A33032" w:rsidR="00971E65" w:rsidRDefault="00971E65" w:rsidP="00997C27">
      <w:pPr>
        <w:pStyle w:val="FootnoteText"/>
      </w:pPr>
      <w:r>
        <w:rPr>
          <w:rStyle w:val="FootnoteReference"/>
        </w:rPr>
        <w:footnoteRef/>
      </w:r>
      <w:r>
        <w:t xml:space="preserve"> MOHCC Zimbabwe (2015) Zimbabwe HIV Viral Load Scale-up Plan 2015-2018</w:t>
      </w:r>
    </w:p>
  </w:footnote>
  <w:footnote w:id="76">
    <w:p w14:paraId="1D2D7001" w14:textId="77777777" w:rsidR="00971E65" w:rsidRPr="00EF7628" w:rsidRDefault="00971E65" w:rsidP="00997C27">
      <w:pPr>
        <w:pStyle w:val="FootnoteText"/>
        <w:rPr>
          <w:lang w:val="en-US"/>
        </w:rPr>
      </w:pPr>
      <w:r>
        <w:rPr>
          <w:rStyle w:val="FootnoteReference"/>
        </w:rPr>
        <w:footnoteRef/>
      </w:r>
      <w:r>
        <w:t xml:space="preserve"> It is noted however that the plan has been for the period 2015-18, although scale-up and donor funding is yet to happen.</w:t>
      </w:r>
    </w:p>
  </w:footnote>
  <w:footnote w:id="77">
    <w:p w14:paraId="07483167" w14:textId="77777777" w:rsidR="00971E65" w:rsidRDefault="00971E65" w:rsidP="00120CFF">
      <w:pPr>
        <w:pStyle w:val="FootnoteText"/>
      </w:pPr>
      <w:r>
        <w:rPr>
          <w:rStyle w:val="FootnoteReference"/>
        </w:rPr>
        <w:footnoteRef/>
      </w:r>
      <w:r>
        <w:t xml:space="preserve"> </w:t>
      </w:r>
      <w:r w:rsidRPr="005B6F81">
        <w:t>MSF (2016) Vol. 8:</w:t>
      </w:r>
      <w:r>
        <w:t xml:space="preserve"> Making Viral Load Routine</w:t>
      </w:r>
      <w:r w:rsidRPr="005B6F81">
        <w:t xml:space="preserve"> Part </w:t>
      </w:r>
      <w:r>
        <w:t xml:space="preserve">2: </w:t>
      </w:r>
      <w:r w:rsidRPr="00744676">
        <w:t>The Viral Load Laboratory</w:t>
      </w:r>
      <w:r>
        <w:t xml:space="preserve"> </w:t>
      </w:r>
    </w:p>
  </w:footnote>
  <w:footnote w:id="78">
    <w:p w14:paraId="779BF0DD" w14:textId="77777777" w:rsidR="00971E65" w:rsidRPr="005A7680" w:rsidRDefault="00971E65" w:rsidP="00120CFF">
      <w:pPr>
        <w:pStyle w:val="FootnoteText"/>
        <w:rPr>
          <w:lang w:val="en-US"/>
        </w:rPr>
      </w:pPr>
      <w:r>
        <w:rPr>
          <w:rStyle w:val="FootnoteReference"/>
        </w:rPr>
        <w:footnoteRef/>
      </w:r>
      <w:r>
        <w:t xml:space="preserve"> </w:t>
      </w:r>
      <w:r w:rsidRPr="00E80C33">
        <w:t xml:space="preserve">The project has </w:t>
      </w:r>
      <w:r>
        <w:t>also</w:t>
      </w:r>
      <w:r w:rsidRPr="00E80C33">
        <w:t xml:space="preserve"> </w:t>
      </w:r>
      <w:r>
        <w:t>demonstrated the need for counsellors (including for EAC)</w:t>
      </w:r>
      <w:r w:rsidRPr="00E80C33">
        <w:t xml:space="preserve">. </w:t>
      </w:r>
      <w:r>
        <w:t>Our consultations in Malawi and Zimbabwe suggested that</w:t>
      </w:r>
      <w:r w:rsidRPr="00E80C33">
        <w:t xml:space="preserve">, seeing the success in terms of adherence among </w:t>
      </w:r>
      <w:r>
        <w:t>PLHIV</w:t>
      </w:r>
      <w:r w:rsidRPr="00E80C33">
        <w:t xml:space="preserve"> utilising MSF facilities where counselling is provided</w:t>
      </w:r>
      <w:r>
        <w:t>,</w:t>
      </w:r>
      <w:r w:rsidRPr="00E80C33">
        <w:t xml:space="preserve"> has encouraged governments to make greater use of counsellors</w:t>
      </w:r>
      <w:r>
        <w:t>.</w:t>
      </w:r>
    </w:p>
  </w:footnote>
  <w:footnote w:id="79">
    <w:p w14:paraId="212960F7" w14:textId="59AE587E" w:rsidR="00971E65" w:rsidRPr="005A7680" w:rsidRDefault="00971E65">
      <w:pPr>
        <w:pStyle w:val="FootnoteText"/>
        <w:rPr>
          <w:lang w:val="en-US"/>
        </w:rPr>
      </w:pPr>
      <w:r>
        <w:rPr>
          <w:rStyle w:val="FootnoteReference"/>
        </w:rPr>
        <w:footnoteRef/>
      </w:r>
      <w:r>
        <w:t xml:space="preserve"> As noted in Section 2, this was the predominant focus of the CHAI/UNICEF project rather than the MSF project.</w:t>
      </w:r>
    </w:p>
  </w:footnote>
  <w:footnote w:id="80">
    <w:p w14:paraId="69CDD9F1" w14:textId="77777777" w:rsidR="00971E65" w:rsidRDefault="00971E65" w:rsidP="00CB1DC8">
      <w:pPr>
        <w:pStyle w:val="FootnoteText"/>
      </w:pPr>
      <w:r>
        <w:rPr>
          <w:rStyle w:val="FootnoteReference"/>
        </w:rPr>
        <w:footnoteRef/>
      </w:r>
      <w:r>
        <w:t xml:space="preserve"> Country consultations provided this figure which is less than that stated in the End of Project Report (US$43). </w:t>
      </w:r>
    </w:p>
  </w:footnote>
  <w:footnote w:id="81">
    <w:p w14:paraId="7222DEE1" w14:textId="6C47CCD6" w:rsidR="00971E65" w:rsidRPr="00CF05BA" w:rsidRDefault="00971E65" w:rsidP="009D739F">
      <w:pPr>
        <w:pStyle w:val="FootnoteText"/>
        <w:rPr>
          <w:lang w:val="en-US"/>
        </w:rPr>
      </w:pPr>
      <w:r>
        <w:rPr>
          <w:rStyle w:val="FootnoteReference"/>
        </w:rPr>
        <w:footnoteRef/>
      </w:r>
      <w:r>
        <w:t xml:space="preserve"> The project goal of “i</w:t>
      </w:r>
      <w:r w:rsidRPr="007A32D1">
        <w:t>mproved clinical outcomes for PL</w:t>
      </w:r>
      <w:r>
        <w:t>HIV</w:t>
      </w:r>
      <w:r w:rsidRPr="007A32D1">
        <w:t xml:space="preserve"> in resource-constrained settings through models of care for optimal use of PoC CD4, laboratory-based and PoC viral load and EID testing</w:t>
      </w:r>
      <w:r>
        <w:t>” has associated indicators of (i) improved switching to</w:t>
      </w:r>
      <w:r w:rsidRPr="00A94B66">
        <w:t xml:space="preserve"> </w:t>
      </w:r>
      <w:r>
        <w:t>second-line regimen</w:t>
      </w:r>
      <w:r w:rsidRPr="00A94B66">
        <w:t xml:space="preserve"> </w:t>
      </w:r>
      <w:r>
        <w:t>treatment; and (ii) m</w:t>
      </w:r>
      <w:r w:rsidRPr="00CE4836">
        <w:t>edian/</w:t>
      </w:r>
      <w:r>
        <w:t>a</w:t>
      </w:r>
      <w:r w:rsidRPr="00CE4836">
        <w:t>verage number of calendar days from EID sample collection to treatment initiation</w:t>
      </w:r>
      <w:r>
        <w:t>.</w:t>
      </w:r>
    </w:p>
  </w:footnote>
  <w:footnote w:id="82">
    <w:p w14:paraId="2F18E32B" w14:textId="77777777" w:rsidR="00971E65" w:rsidRDefault="00971E65" w:rsidP="00930214">
      <w:pPr>
        <w:pStyle w:val="FootnoteText"/>
      </w:pPr>
      <w:r>
        <w:rPr>
          <w:rStyle w:val="FootnoteReference"/>
        </w:rPr>
        <w:footnoteRef/>
      </w:r>
      <w:r>
        <w:t xml:space="preserve"> MSF (2017) End of Project Report</w:t>
      </w:r>
    </w:p>
  </w:footnote>
  <w:footnote w:id="83">
    <w:p w14:paraId="5084D170" w14:textId="53677853" w:rsidR="00971E65" w:rsidRDefault="00971E65">
      <w:pPr>
        <w:pStyle w:val="FootnoteText"/>
      </w:pPr>
      <w:r>
        <w:rPr>
          <w:rStyle w:val="FootnoteReference"/>
        </w:rPr>
        <w:footnoteRef/>
      </w:r>
      <w:r>
        <w:t xml:space="preserve"> Ibid</w:t>
      </w:r>
    </w:p>
  </w:footnote>
  <w:footnote w:id="84">
    <w:p w14:paraId="6C0A3CAC" w14:textId="6071AA2E" w:rsidR="00971E65" w:rsidRPr="00A51C5E" w:rsidRDefault="00971E65">
      <w:pPr>
        <w:pStyle w:val="FootnoteText"/>
        <w:rPr>
          <w:lang w:val="en-US"/>
        </w:rPr>
      </w:pPr>
      <w:r>
        <w:rPr>
          <w:rStyle w:val="FootnoteReference"/>
        </w:rPr>
        <w:footnoteRef/>
      </w:r>
      <w:r>
        <w:t xml:space="preserve"> </w:t>
      </w:r>
      <w:r>
        <w:rPr>
          <w:lang w:val="en-US"/>
        </w:rPr>
        <w:t>The progress reports also present a</w:t>
      </w:r>
      <w:r w:rsidRPr="00A51C5E">
        <w:rPr>
          <w:lang w:val="en-US"/>
        </w:rPr>
        <w:t xml:space="preserve">verage number of calendar days between VL sample collection and results </w:t>
      </w:r>
      <w:r>
        <w:rPr>
          <w:lang w:val="en-US"/>
        </w:rPr>
        <w:t>being ready to be sent from the l</w:t>
      </w:r>
      <w:r w:rsidRPr="00A51C5E">
        <w:rPr>
          <w:lang w:val="en-US"/>
        </w:rPr>
        <w:t>aboratory</w:t>
      </w:r>
      <w:r>
        <w:rPr>
          <w:lang w:val="en-US"/>
        </w:rPr>
        <w:t xml:space="preserve">. The experience has varied by project site (e.g. around 1.5 days in Malawi Chiradzulu on account of POC but 46 days in Zimbabwe) but generally been poor. </w:t>
      </w:r>
    </w:p>
  </w:footnote>
  <w:footnote w:id="85">
    <w:p w14:paraId="290FC920" w14:textId="77777777" w:rsidR="00971E65" w:rsidRDefault="00971E65" w:rsidP="00FB6065">
      <w:pPr>
        <w:pStyle w:val="FootnoteText"/>
      </w:pPr>
      <w:r>
        <w:rPr>
          <w:rStyle w:val="FootnoteReference"/>
        </w:rPr>
        <w:footnoteRef/>
      </w:r>
      <w:r>
        <w:t xml:space="preserve"> MSF (2017) End of Project Report</w:t>
      </w:r>
    </w:p>
  </w:footnote>
  <w:footnote w:id="86">
    <w:p w14:paraId="63FD52D9" w14:textId="00239DF7" w:rsidR="00971E65" w:rsidRDefault="00971E65" w:rsidP="00491A46">
      <w:pPr>
        <w:pStyle w:val="FootnoteText"/>
      </w:pPr>
      <w:r>
        <w:rPr>
          <w:rStyle w:val="FootnoteReference"/>
        </w:rPr>
        <w:footnoteRef/>
      </w:r>
      <w:r>
        <w:t xml:space="preserve"> MSF (2017) End of Project Report</w:t>
      </w:r>
    </w:p>
  </w:footnote>
  <w:footnote w:id="87">
    <w:p w14:paraId="4B4263CC" w14:textId="6FA789B4" w:rsidR="00971E65" w:rsidRDefault="00971E65">
      <w:pPr>
        <w:pStyle w:val="FootnoteText"/>
      </w:pPr>
      <w:r>
        <w:rPr>
          <w:rStyle w:val="FootnoteReference"/>
        </w:rPr>
        <w:footnoteRef/>
      </w:r>
      <w:r>
        <w:t xml:space="preserve"> The country results refer to the number of patients switched to second-line treatment as a proportion of those patients identified in need of switching. </w:t>
      </w:r>
    </w:p>
  </w:footnote>
  <w:footnote w:id="88">
    <w:p w14:paraId="2AA02A98" w14:textId="591FADCF" w:rsidR="00971E65" w:rsidRDefault="00971E65" w:rsidP="00DB7642">
      <w:pPr>
        <w:pStyle w:val="FootnoteText"/>
      </w:pPr>
      <w:r>
        <w:rPr>
          <w:rStyle w:val="FootnoteReference"/>
        </w:rPr>
        <w:footnoteRef/>
      </w:r>
      <w:r>
        <w:t xml:space="preserve"> This result refers to the achievement of the number of patients switched to second-line treatment as a proportion of the project target.</w:t>
      </w:r>
    </w:p>
  </w:footnote>
  <w:footnote w:id="89">
    <w:p w14:paraId="689CDDD5" w14:textId="3F966D1B" w:rsidR="00971E65" w:rsidRDefault="00971E65">
      <w:pPr>
        <w:pStyle w:val="FootnoteText"/>
      </w:pPr>
      <w:r>
        <w:rPr>
          <w:rStyle w:val="FootnoteReference"/>
        </w:rPr>
        <w:footnoteRef/>
      </w:r>
      <w:r>
        <w:t xml:space="preserve"> </w:t>
      </w:r>
      <w:r w:rsidRPr="000C37F0">
        <w:t>MSF (2016) Vol. 8: Making Viral Load Routine Part 1: Programmatic strategies</w:t>
      </w:r>
    </w:p>
  </w:footnote>
  <w:footnote w:id="90">
    <w:p w14:paraId="70F5E740" w14:textId="77777777" w:rsidR="00971E65" w:rsidRDefault="00971E65" w:rsidP="00491A46">
      <w:pPr>
        <w:pStyle w:val="FootnoteText"/>
      </w:pPr>
      <w:r>
        <w:rPr>
          <w:rStyle w:val="FootnoteReference"/>
        </w:rPr>
        <w:footnoteRef/>
      </w:r>
      <w:r>
        <w:t xml:space="preserve"> In </w:t>
      </w:r>
      <w:r w:rsidRPr="00010189">
        <w:t>Shiselweni,</w:t>
      </w:r>
      <w:r>
        <w:t xml:space="preserve"> Swaziland, the proportion of those tested with VL &gt;1000copies/ml was as follows: 25% (&lt;15 years); 28% (15-25 year olds); 12% (&gt;25 years)</w:t>
      </w:r>
    </w:p>
  </w:footnote>
  <w:footnote w:id="91">
    <w:p w14:paraId="6D8E39FB" w14:textId="437A0C3B" w:rsidR="00971E65" w:rsidRDefault="00971E65" w:rsidP="00491A46">
      <w:pPr>
        <w:pStyle w:val="FootnoteText"/>
      </w:pPr>
      <w:r>
        <w:rPr>
          <w:rStyle w:val="FootnoteReference"/>
        </w:rPr>
        <w:footnoteRef/>
      </w:r>
      <w:r>
        <w:t xml:space="preserve"> </w:t>
      </w:r>
      <w:r w:rsidRPr="005B6F81">
        <w:t>MSF (2016) Vol. 8:</w:t>
      </w:r>
      <w:r>
        <w:t xml:space="preserve"> Making Viral Load Routine </w:t>
      </w:r>
      <w:r w:rsidRPr="005B6F81">
        <w:t>Part 1: Programmatic strategies</w:t>
      </w:r>
      <w:r w:rsidDel="00B13728">
        <w:t xml:space="preserve"> </w:t>
      </w:r>
    </w:p>
  </w:footnote>
  <w:footnote w:id="92">
    <w:p w14:paraId="3176FAAA" w14:textId="77777777" w:rsidR="00971E65" w:rsidRDefault="00971E65" w:rsidP="00887750">
      <w:pPr>
        <w:pStyle w:val="FootnoteText"/>
      </w:pPr>
      <w:r>
        <w:rPr>
          <w:rStyle w:val="FootnoteReference"/>
        </w:rPr>
        <w:footnoteRef/>
      </w:r>
      <w:r>
        <w:t xml:space="preserve"> </w:t>
      </w:r>
      <w:r w:rsidRPr="009858A6">
        <w:t>Keiser et al, (2010). Mortality after failure of antiretroviral therapy in sub-Saharan Africa. Trop Med Int Health. 2010; 15(2): 251–258.</w:t>
      </w:r>
      <w:r>
        <w:t xml:space="preserve"> </w:t>
      </w:r>
    </w:p>
  </w:footnote>
  <w:footnote w:id="93">
    <w:p w14:paraId="3C7B24EC" w14:textId="6C5FAF96" w:rsidR="00971E65" w:rsidRDefault="00971E65" w:rsidP="00887750">
      <w:pPr>
        <w:pStyle w:val="FootnoteText"/>
      </w:pPr>
      <w:r>
        <w:rPr>
          <w:rStyle w:val="FootnoteReference"/>
        </w:rPr>
        <w:footnoteRef/>
      </w:r>
      <w:r>
        <w:t xml:space="preserve"> Cumulative mortality at one year was 4.2% (95% CI 2.2 - 7.8%) in patients who switched to a second-line regimen and 11.7% (7.3% - 18.5%) in patients who remained on a failing first-line regimen.</w:t>
      </w:r>
      <w:r w:rsidRPr="009858A6">
        <w:t xml:space="preserve"> </w:t>
      </w:r>
      <w:r>
        <w:t>We have assumed that the MSF project sites are similar in nature to the sub-Saharan sites participating in this study by Keiser et al but this study may not be representative of all sites providing ART in these countries, or to other sub-Saharan African countries.</w:t>
      </w:r>
    </w:p>
  </w:footnote>
  <w:footnote w:id="94">
    <w:p w14:paraId="1A6089E7" w14:textId="77777777" w:rsidR="00971E65" w:rsidRDefault="00971E65" w:rsidP="00887750">
      <w:pPr>
        <w:pStyle w:val="FootnoteText"/>
      </w:pPr>
      <w:r>
        <w:rPr>
          <w:rStyle w:val="FootnoteReference"/>
        </w:rPr>
        <w:footnoteRef/>
      </w:r>
      <w:r>
        <w:t xml:space="preserve"> </w:t>
      </w:r>
      <w:r w:rsidRPr="003E29DA">
        <w:t>Keiser et al (2011). Outcomes of Antiretroviral Treatment in Programmes with and without Routine Viral Load Monitoring in Southern Africa. AIDS 25(14): 1761–1769.</w:t>
      </w:r>
      <w:r>
        <w:t xml:space="preserve"> </w:t>
      </w:r>
    </w:p>
  </w:footnote>
  <w:footnote w:id="95">
    <w:p w14:paraId="04971D84" w14:textId="77777777" w:rsidR="00971E65" w:rsidRDefault="00971E65" w:rsidP="00887750">
      <w:pPr>
        <w:pStyle w:val="FootnoteText"/>
      </w:pPr>
      <w:r>
        <w:rPr>
          <w:rStyle w:val="FootnoteReference"/>
        </w:rPr>
        <w:footnoteRef/>
      </w:r>
      <w:r>
        <w:t xml:space="preserve"> Data for ART cohorts and viral load coverage has been based on the Making Viral Load Routine Part 1: Programmatic Strategies document. As such, data has not been available for DRC, and has been taken from 2015. </w:t>
      </w:r>
    </w:p>
  </w:footnote>
  <w:footnote w:id="96">
    <w:p w14:paraId="58B5C29A" w14:textId="7A938374" w:rsidR="00971E65" w:rsidRDefault="00971E65">
      <w:pPr>
        <w:pStyle w:val="FootnoteText"/>
      </w:pPr>
      <w:r>
        <w:rPr>
          <w:rStyle w:val="FootnoteReference"/>
        </w:rPr>
        <w:footnoteRef/>
      </w:r>
      <w:r>
        <w:t xml:space="preserve"> </w:t>
      </w:r>
      <w:r w:rsidRPr="00E7231A">
        <w:t>This estimate assumes that the project countries achieve routine VL testing for PLHIV on ART to a degree which is the same as that which was achieved in South Africa within a study by Keiser et al (2011). Estimates regarding the number of PLHIV on ART have obtained from UNAIDS 2016 estimates (UNAIDS 2016: http://www.unaids.org/sites/default/files/media_asset/20170720_Data_book_2017_en.pdf)</w:t>
      </w:r>
    </w:p>
  </w:footnote>
  <w:footnote w:id="97">
    <w:p w14:paraId="34540614" w14:textId="4AA9B840" w:rsidR="00971E65" w:rsidRDefault="00971E65" w:rsidP="00887750">
      <w:pPr>
        <w:pStyle w:val="FootnoteText"/>
      </w:pPr>
      <w:r>
        <w:rPr>
          <w:rStyle w:val="FootnoteReference"/>
        </w:rPr>
        <w:footnoteRef/>
      </w:r>
      <w:r>
        <w:t xml:space="preserve"> </w:t>
      </w:r>
      <w:r w:rsidRPr="00DE41C7">
        <w:t>This was derived through applying assumptions regarding the number of PLHIV on ART who are failing first line treatment as well as an assumed increase in switching rate of 8.9% from routine VL testing instead of CD4 testing (based on a study by Haas et al 2015)</w:t>
      </w:r>
      <w:r>
        <w:t xml:space="preserve"> and </w:t>
      </w:r>
      <w:r w:rsidRPr="00256E27">
        <w:t>assuming a reduction in mortality from switching to second line regimen, as per Keiser et al (2010</w:t>
      </w:r>
      <w:r>
        <w:t>).</w:t>
      </w:r>
    </w:p>
  </w:footnote>
  <w:footnote w:id="98">
    <w:p w14:paraId="60C24040" w14:textId="09ED47B8" w:rsidR="00971E65" w:rsidRDefault="00971E65" w:rsidP="00491A46">
      <w:pPr>
        <w:pStyle w:val="FootnoteText"/>
      </w:pPr>
      <w:r>
        <w:rPr>
          <w:rStyle w:val="FootnoteReference"/>
        </w:rPr>
        <w:footnoteRef/>
      </w:r>
      <w:r>
        <w:t xml:space="preserve"> MSF (2017) End of Project Report</w:t>
      </w:r>
    </w:p>
  </w:footnote>
  <w:footnote w:id="99">
    <w:p w14:paraId="1727C15A" w14:textId="0D202100" w:rsidR="00971E65" w:rsidRDefault="00971E65" w:rsidP="00491A46">
      <w:pPr>
        <w:pStyle w:val="FootnoteText"/>
      </w:pPr>
      <w:r>
        <w:rPr>
          <w:rStyle w:val="FootnoteReference"/>
        </w:rPr>
        <w:footnoteRef/>
      </w:r>
      <w:r>
        <w:t xml:space="preserve"> MSF (2017) End of Project Report</w:t>
      </w:r>
    </w:p>
  </w:footnote>
  <w:footnote w:id="100">
    <w:p w14:paraId="6B3154F6" w14:textId="77777777" w:rsidR="00971E65" w:rsidRDefault="00971E65" w:rsidP="00491A46">
      <w:pPr>
        <w:pStyle w:val="FootnoteText"/>
      </w:pPr>
      <w:r>
        <w:rPr>
          <w:rStyle w:val="FootnoteReference"/>
        </w:rPr>
        <w:footnoteRef/>
      </w:r>
      <w:r>
        <w:t xml:space="preserve"> </w:t>
      </w:r>
      <w:r w:rsidRPr="001761E2">
        <w:t>Malawi, Uganda and Swaziland EID testing was not implemented</w:t>
      </w:r>
      <w:r>
        <w:t>, data from 2016.</w:t>
      </w:r>
    </w:p>
  </w:footnote>
  <w:footnote w:id="101">
    <w:p w14:paraId="0951AF6A" w14:textId="0B03F9E5" w:rsidR="00971E65" w:rsidRPr="00175856" w:rsidRDefault="00971E65">
      <w:pPr>
        <w:pStyle w:val="FootnoteText"/>
        <w:rPr>
          <w:lang w:val="en-US"/>
        </w:rPr>
      </w:pPr>
      <w:r>
        <w:rPr>
          <w:rStyle w:val="FootnoteReference"/>
        </w:rPr>
        <w:footnoteRef/>
      </w:r>
      <w:r>
        <w:t xml:space="preserve"> </w:t>
      </w:r>
      <w:r>
        <w:rPr>
          <w:lang w:val="en-US"/>
        </w:rPr>
        <w:t xml:space="preserve">Annex H provides country specific details. </w:t>
      </w:r>
    </w:p>
  </w:footnote>
  <w:footnote w:id="102">
    <w:p w14:paraId="5E212E41" w14:textId="1227450B" w:rsidR="00971E65" w:rsidRDefault="00971E65" w:rsidP="00C70C3B">
      <w:pPr>
        <w:pStyle w:val="FootnoteText"/>
        <w:jc w:val="left"/>
      </w:pPr>
      <w:r>
        <w:rPr>
          <w:rStyle w:val="FootnoteReference"/>
        </w:rPr>
        <w:footnoteRef/>
      </w:r>
      <w:r>
        <w:t xml:space="preserve"> Data taken from UNAIDS (2017) UNAIDS Data 2017 (</w:t>
      </w:r>
      <w:hyperlink r:id="rId2" w:history="1">
        <w:r w:rsidRPr="004028C7">
          <w:rPr>
            <w:rStyle w:val="Hyperlink"/>
          </w:rPr>
          <w:t>http://www.unaids.org/sites/default/files/media_asset/20170720_Data_book_2017_en.pdf</w:t>
        </w:r>
      </w:hyperlink>
      <w:r>
        <w:t>)</w:t>
      </w:r>
    </w:p>
  </w:footnote>
  <w:footnote w:id="103">
    <w:p w14:paraId="39F85C5D" w14:textId="77777777" w:rsidR="00971E65" w:rsidRDefault="00971E65" w:rsidP="00C70C3B">
      <w:pPr>
        <w:pStyle w:val="FootnoteText"/>
      </w:pPr>
      <w:r>
        <w:rPr>
          <w:rStyle w:val="FootnoteReference"/>
        </w:rPr>
        <w:footnoteRef/>
      </w:r>
      <w:r>
        <w:t xml:space="preserve"> Percentage of people living with HIV on antiretroviral therapy who received a viral load test</w:t>
      </w:r>
    </w:p>
  </w:footnote>
  <w:footnote w:id="104">
    <w:p w14:paraId="07FC3315" w14:textId="76A20AE7" w:rsidR="00971E65" w:rsidRDefault="00971E65" w:rsidP="00C70C3B">
      <w:pPr>
        <w:pStyle w:val="FootnoteText"/>
      </w:pPr>
      <w:r>
        <w:rPr>
          <w:rStyle w:val="FootnoteReference"/>
        </w:rPr>
        <w:footnoteRef/>
      </w:r>
      <w:r>
        <w:t xml:space="preserve"> DRC is included in </w:t>
      </w:r>
      <w:r w:rsidRPr="007D356E">
        <w:t>Western and central Africa</w:t>
      </w:r>
      <w:r>
        <w:t xml:space="preserve"> statistics, not Eastern and Southern Africa</w:t>
      </w:r>
    </w:p>
  </w:footnote>
  <w:footnote w:id="105">
    <w:p w14:paraId="1F192078" w14:textId="0F759FA6" w:rsidR="00971E65" w:rsidRDefault="00971E65" w:rsidP="00FD723A">
      <w:pPr>
        <w:pStyle w:val="FootnoteText"/>
        <w:jc w:val="left"/>
      </w:pPr>
      <w:r>
        <w:rPr>
          <w:rStyle w:val="FootnoteReference"/>
        </w:rPr>
        <w:footnoteRef/>
      </w:r>
      <w:r>
        <w:t xml:space="preserve"> During our consultations in country, Zimbabwe has reportedly increased VL testing coverage from 5% at the end of 14% in 2016 and approximately 23% in 2017. </w:t>
      </w:r>
    </w:p>
  </w:footnote>
  <w:footnote w:id="106">
    <w:p w14:paraId="64895850" w14:textId="18E22886" w:rsidR="00971E65" w:rsidRDefault="00971E65" w:rsidP="00D97E3B">
      <w:pPr>
        <w:pStyle w:val="FootnoteText"/>
      </w:pPr>
      <w:r>
        <w:rPr>
          <w:rStyle w:val="FootnoteReference"/>
        </w:rPr>
        <w:footnoteRef/>
      </w:r>
      <w:r>
        <w:t xml:space="preserve"> Representatives of the Global Fund were contacted for an interview, however there was no response, and as such it has not been possible to gain their feedback for this evaluation, Other donors and global partner have however been interviewed.  </w:t>
      </w:r>
    </w:p>
  </w:footnote>
  <w:footnote w:id="107">
    <w:p w14:paraId="040DEBAE" w14:textId="4619543C" w:rsidR="00971E65" w:rsidRDefault="00971E65" w:rsidP="00D97E3B">
      <w:pPr>
        <w:pStyle w:val="FootnoteText"/>
      </w:pPr>
      <w:r>
        <w:rPr>
          <w:rStyle w:val="FootnoteReference"/>
        </w:rPr>
        <w:footnoteRef/>
      </w:r>
      <w:r>
        <w:t xml:space="preserve"> Unitaid (2013), Unitaid</w:t>
      </w:r>
      <w:r w:rsidRPr="0057439C">
        <w:t xml:space="preserve"> Strategy 2013-2016</w:t>
      </w:r>
    </w:p>
  </w:footnote>
  <w:footnote w:id="108">
    <w:p w14:paraId="251713EE" w14:textId="2B22F233" w:rsidR="00971E65" w:rsidRDefault="00971E65" w:rsidP="00D97E3B">
      <w:pPr>
        <w:pStyle w:val="FootnoteText"/>
      </w:pPr>
      <w:r>
        <w:rPr>
          <w:rStyle w:val="FootnoteReference"/>
        </w:rPr>
        <w:footnoteRef/>
      </w:r>
      <w:r>
        <w:t xml:space="preserve"> </w:t>
      </w:r>
      <w:r w:rsidRPr="00713EB0">
        <w:t xml:space="preserve">We note here a few points with regard to the data on coverage of EID testing. In the DRC, coverage of 95% is the figure for 2016. In 2015, the coverage rate was 90%. In Kenya, data are reported from 2016 only. In Malawi, a coverage of 64% is taken from 2014 only, and is based on </w:t>
      </w:r>
      <w:r>
        <w:t>MOH</w:t>
      </w:r>
      <w:r w:rsidRPr="00713EB0">
        <w:t xml:space="preserve"> services and </w:t>
      </w:r>
      <w:r>
        <w:t>MOH</w:t>
      </w:r>
      <w:r w:rsidRPr="00713EB0">
        <w:t xml:space="preserve"> data.</w:t>
      </w:r>
    </w:p>
  </w:footnote>
  <w:footnote w:id="109">
    <w:p w14:paraId="50E59C5F" w14:textId="1A039655" w:rsidR="00971E65" w:rsidRDefault="00971E65" w:rsidP="00D97E3B">
      <w:pPr>
        <w:pStyle w:val="FootnoteText"/>
      </w:pPr>
      <w:r>
        <w:rPr>
          <w:rStyle w:val="FootnoteReference"/>
        </w:rPr>
        <w:footnoteRef/>
      </w:r>
      <w:r>
        <w:t xml:space="preserve"> MSF (2014) Annual Report, p.31.</w:t>
      </w:r>
    </w:p>
  </w:footnote>
  <w:footnote w:id="110">
    <w:p w14:paraId="13ACD6BC" w14:textId="44618EF2" w:rsidR="00971E65" w:rsidRDefault="00971E65" w:rsidP="00D97E3B">
      <w:pPr>
        <w:pStyle w:val="FootnoteText"/>
      </w:pPr>
      <w:r>
        <w:rPr>
          <w:rStyle w:val="FootnoteReference"/>
        </w:rPr>
        <w:footnoteRef/>
      </w:r>
      <w:r>
        <w:t xml:space="preserve"> MSF (2014) Annual Report, p.29.</w:t>
      </w:r>
    </w:p>
  </w:footnote>
  <w:footnote w:id="111">
    <w:p w14:paraId="41EC19CC" w14:textId="0E7AFF0D" w:rsidR="00971E65" w:rsidRDefault="00971E65" w:rsidP="00D97E3B">
      <w:pPr>
        <w:pStyle w:val="FootnoteText"/>
      </w:pPr>
      <w:r>
        <w:rPr>
          <w:rStyle w:val="FootnoteReference"/>
        </w:rPr>
        <w:footnoteRef/>
      </w:r>
      <w:r>
        <w:t xml:space="preserve"> MSF (2014) Annual Report, p.29.</w:t>
      </w:r>
    </w:p>
  </w:footnote>
  <w:footnote w:id="112">
    <w:p w14:paraId="19A68E83" w14:textId="7B1E0210" w:rsidR="00971E65" w:rsidRDefault="00971E65" w:rsidP="00D97E3B">
      <w:pPr>
        <w:pStyle w:val="FootnoteText"/>
      </w:pPr>
      <w:r>
        <w:rPr>
          <w:rStyle w:val="FootnoteReference"/>
        </w:rPr>
        <w:footnoteRef/>
      </w:r>
      <w:r>
        <w:t xml:space="preserve"> MSF (2015) Annual Report, p.29.</w:t>
      </w:r>
    </w:p>
  </w:footnote>
  <w:footnote w:id="113">
    <w:p w14:paraId="25B6048B" w14:textId="05882CB1" w:rsidR="00971E65" w:rsidRDefault="00971E65" w:rsidP="00D97E3B">
      <w:pPr>
        <w:pStyle w:val="FootnoteText"/>
      </w:pPr>
      <w:r>
        <w:rPr>
          <w:rStyle w:val="FootnoteReference"/>
        </w:rPr>
        <w:footnoteRef/>
      </w:r>
      <w:r>
        <w:t xml:space="preserve"> MSF (2015) Annual Report, p.15</w:t>
      </w:r>
    </w:p>
  </w:footnote>
  <w:footnote w:id="114">
    <w:p w14:paraId="52D910E0" w14:textId="4B9E6D6C" w:rsidR="00971E65" w:rsidRDefault="00971E65" w:rsidP="00D97E3B">
      <w:pPr>
        <w:pStyle w:val="FootnoteText"/>
      </w:pPr>
      <w:r>
        <w:rPr>
          <w:rStyle w:val="FootnoteReference"/>
        </w:rPr>
        <w:footnoteRef/>
      </w:r>
      <w:r>
        <w:t xml:space="preserve"> MSF (2015) Procurement Plan, p.2.</w:t>
      </w:r>
    </w:p>
  </w:footnote>
  <w:footnote w:id="115">
    <w:p w14:paraId="6C694D0B" w14:textId="1DCCF92E" w:rsidR="00971E65" w:rsidRDefault="00971E65" w:rsidP="00D97E3B">
      <w:pPr>
        <w:pStyle w:val="FootnoteText"/>
      </w:pPr>
      <w:r>
        <w:rPr>
          <w:rStyle w:val="FootnoteReference"/>
        </w:rPr>
        <w:footnoteRef/>
      </w:r>
      <w:r>
        <w:t xml:space="preserve"> MSF (2015) Annual Report, p.18.</w:t>
      </w:r>
    </w:p>
  </w:footnote>
  <w:footnote w:id="116">
    <w:p w14:paraId="1EBD9FE0" w14:textId="63C5D8BE" w:rsidR="00971E65" w:rsidRDefault="00971E65" w:rsidP="00D97E3B">
      <w:pPr>
        <w:pStyle w:val="FootnoteText"/>
      </w:pPr>
      <w:r>
        <w:rPr>
          <w:rStyle w:val="FootnoteReference"/>
        </w:rPr>
        <w:footnoteRef/>
      </w:r>
      <w:r>
        <w:t xml:space="preserve"> MSF (2016) Annual Report. </w:t>
      </w:r>
    </w:p>
  </w:footnote>
  <w:footnote w:id="117">
    <w:p w14:paraId="6BAB1808" w14:textId="79D318D2" w:rsidR="00971E65" w:rsidRDefault="00971E65" w:rsidP="00D97E3B">
      <w:pPr>
        <w:pStyle w:val="FootnoteText"/>
      </w:pPr>
      <w:r>
        <w:rPr>
          <w:rStyle w:val="FootnoteReference"/>
        </w:rPr>
        <w:footnoteRef/>
      </w:r>
      <w:r>
        <w:t xml:space="preserve"> MSF (2017) End of Project Report, p.5.</w:t>
      </w:r>
    </w:p>
  </w:footnote>
  <w:footnote w:id="118">
    <w:p w14:paraId="1DC5EBEF" w14:textId="262B04A3" w:rsidR="00971E65" w:rsidRDefault="00971E65" w:rsidP="00D97E3B">
      <w:pPr>
        <w:pStyle w:val="FootnoteText"/>
      </w:pPr>
      <w:r>
        <w:rPr>
          <w:rStyle w:val="FootnoteReference"/>
        </w:rPr>
        <w:footnoteRef/>
      </w:r>
      <w:r>
        <w:t xml:space="preserve"> MSF (2014) Annual Report, p.29.</w:t>
      </w:r>
    </w:p>
  </w:footnote>
  <w:footnote w:id="119">
    <w:p w14:paraId="4CF90192" w14:textId="7EA919B2" w:rsidR="00971E65" w:rsidRDefault="00971E65" w:rsidP="00D97E3B">
      <w:pPr>
        <w:pStyle w:val="FootnoteText"/>
      </w:pPr>
      <w:r>
        <w:rPr>
          <w:rStyle w:val="FootnoteReference"/>
        </w:rPr>
        <w:footnoteRef/>
      </w:r>
      <w:r>
        <w:t xml:space="preserve"> MSF (2016) Annual Report, p.15.</w:t>
      </w:r>
    </w:p>
  </w:footnote>
  <w:footnote w:id="120">
    <w:p w14:paraId="07BE1E67" w14:textId="144D73EF" w:rsidR="00971E65" w:rsidRDefault="00971E65" w:rsidP="00D97E3B">
      <w:pPr>
        <w:pStyle w:val="FootnoteText"/>
      </w:pPr>
      <w:r>
        <w:rPr>
          <w:rStyle w:val="FootnoteReference"/>
        </w:rPr>
        <w:footnoteRef/>
      </w:r>
      <w:r>
        <w:t xml:space="preserve"> MSF (2017) End of Project Report, p.5.</w:t>
      </w:r>
    </w:p>
  </w:footnote>
  <w:footnote w:id="121">
    <w:p w14:paraId="71836605" w14:textId="514EB632" w:rsidR="00971E65" w:rsidRDefault="00971E65" w:rsidP="00D97E3B">
      <w:pPr>
        <w:pStyle w:val="FootnoteText"/>
      </w:pPr>
      <w:r>
        <w:rPr>
          <w:rStyle w:val="FootnoteReference"/>
        </w:rPr>
        <w:footnoteRef/>
      </w:r>
      <w:r>
        <w:t xml:space="preserve"> MSF (2017) End of Project Report, p.17.</w:t>
      </w:r>
    </w:p>
  </w:footnote>
  <w:footnote w:id="122">
    <w:p w14:paraId="58EDBCA2" w14:textId="1D95D65F" w:rsidR="00971E65" w:rsidRDefault="00971E65" w:rsidP="00D97E3B">
      <w:pPr>
        <w:pStyle w:val="FootnoteText"/>
      </w:pPr>
      <w:r>
        <w:rPr>
          <w:rStyle w:val="FootnoteReference"/>
        </w:rPr>
        <w:footnoteRef/>
      </w:r>
      <w:r>
        <w:t xml:space="preserve"> MSF (2017) End of Project Report, p.19.</w:t>
      </w:r>
    </w:p>
  </w:footnote>
  <w:footnote w:id="123">
    <w:p w14:paraId="336A8591" w14:textId="5C42CB7A" w:rsidR="00971E65" w:rsidRDefault="00971E65" w:rsidP="00D97E3B">
      <w:pPr>
        <w:pStyle w:val="FootnoteText"/>
      </w:pPr>
      <w:r>
        <w:rPr>
          <w:rStyle w:val="FootnoteReference"/>
        </w:rPr>
        <w:footnoteRef/>
      </w:r>
      <w:r>
        <w:t xml:space="preserve"> MSF (2017) End of Project Report, p.19.</w:t>
      </w:r>
    </w:p>
  </w:footnote>
  <w:footnote w:id="124">
    <w:p w14:paraId="2506A661" w14:textId="77777777" w:rsidR="00971E65" w:rsidRDefault="00971E65" w:rsidP="00D97E3B">
      <w:pPr>
        <w:pStyle w:val="FootnoteText"/>
      </w:pPr>
      <w:r>
        <w:rPr>
          <w:rStyle w:val="FootnoteReference"/>
        </w:rPr>
        <w:footnoteRef/>
      </w:r>
      <w:r>
        <w:t xml:space="preserve"> We note here that MSF staff in Malawi had suggested that some handover of activities in Uganda had occurred, which may indicate that certain activities have been handed over after the submission of the End of Project report. </w:t>
      </w:r>
    </w:p>
  </w:footnote>
  <w:footnote w:id="125">
    <w:p w14:paraId="03696CF7" w14:textId="173BE108" w:rsidR="00971E65" w:rsidRDefault="00971E65" w:rsidP="009B15E1">
      <w:pPr>
        <w:pStyle w:val="FootnoteText"/>
      </w:pPr>
      <w:r>
        <w:rPr>
          <w:rStyle w:val="FootnoteReference"/>
        </w:rPr>
        <w:footnoteRef/>
      </w:r>
      <w:r>
        <w:t xml:space="preserve"> Unitaid (2017), Strategy 2017 – 2021. </w:t>
      </w:r>
    </w:p>
  </w:footnote>
  <w:footnote w:id="126">
    <w:p w14:paraId="10719FC6" w14:textId="1390DAA6" w:rsidR="00971E65" w:rsidRDefault="00971E65">
      <w:pPr>
        <w:pStyle w:val="FootnoteText"/>
      </w:pPr>
      <w:r>
        <w:rPr>
          <w:rStyle w:val="FootnoteReference"/>
        </w:rPr>
        <w:footnoteRef/>
      </w:r>
      <w:r>
        <w:t xml:space="preserve"> Across </w:t>
      </w:r>
      <w:r w:rsidRPr="000A0746">
        <w:t>seven sites with 2016 available data</w:t>
      </w:r>
    </w:p>
  </w:footnote>
  <w:footnote w:id="127">
    <w:p w14:paraId="001C46F2" w14:textId="21C5F898" w:rsidR="00971E65" w:rsidRDefault="00971E65">
      <w:pPr>
        <w:pStyle w:val="FootnoteText"/>
      </w:pPr>
      <w:r>
        <w:rPr>
          <w:rStyle w:val="FootnoteReference"/>
        </w:rPr>
        <w:footnoteRef/>
      </w:r>
      <w:r>
        <w:t xml:space="preserve"> </w:t>
      </w:r>
      <w:r w:rsidRPr="00CD0E08">
        <w:t>MSF (2017) End of Project Report</w:t>
      </w:r>
    </w:p>
  </w:footnote>
  <w:footnote w:id="128">
    <w:p w14:paraId="4ED55EC4" w14:textId="2561E302" w:rsidR="00971E65" w:rsidRDefault="00971E65">
      <w:pPr>
        <w:pStyle w:val="FootnoteText"/>
      </w:pPr>
      <w:r>
        <w:rPr>
          <w:rStyle w:val="FootnoteReference"/>
        </w:rPr>
        <w:footnoteRef/>
      </w:r>
      <w:r>
        <w:t xml:space="preserve"> </w:t>
      </w:r>
      <w:r w:rsidRPr="00161BB7">
        <w:t>Making Viral Load Routine Part 1: Programmatic Strategies</w:t>
      </w:r>
    </w:p>
  </w:footnote>
  <w:footnote w:id="129">
    <w:p w14:paraId="22654280" w14:textId="2E177FDB" w:rsidR="00971E65" w:rsidRDefault="00971E65">
      <w:pPr>
        <w:pStyle w:val="FootnoteText"/>
      </w:pPr>
      <w:r>
        <w:rPr>
          <w:rStyle w:val="FootnoteReference"/>
        </w:rPr>
        <w:footnoteRef/>
      </w:r>
      <w:r>
        <w:t xml:space="preserve"> MSF (2017) End of Project Report</w:t>
      </w:r>
    </w:p>
  </w:footnote>
  <w:footnote w:id="130">
    <w:p w14:paraId="2B5497F0" w14:textId="77777777" w:rsidR="00971E65" w:rsidRDefault="00971E65" w:rsidP="00DF7302">
      <w:pPr>
        <w:pStyle w:val="FootnoteText"/>
      </w:pPr>
      <w:r>
        <w:rPr>
          <w:rStyle w:val="FootnoteReference"/>
        </w:rPr>
        <w:footnoteRef/>
      </w:r>
      <w:r>
        <w:t xml:space="preserve"> </w:t>
      </w:r>
      <w:r w:rsidRPr="009858A6">
        <w:t>Keiser et al, (2010). Mortality after failure of antiretroviral therapy in sub-Saharan Africa. Trop Med Int Health. 2010; 15(2): 251–258.</w:t>
      </w:r>
      <w:r>
        <w:t xml:space="preserve"> </w:t>
      </w:r>
    </w:p>
  </w:footnote>
  <w:footnote w:id="131">
    <w:p w14:paraId="6755A14F" w14:textId="77777777" w:rsidR="00971E65" w:rsidRDefault="00971E65" w:rsidP="00DF7302">
      <w:pPr>
        <w:pStyle w:val="FootnoteText"/>
      </w:pPr>
      <w:r>
        <w:rPr>
          <w:rStyle w:val="FootnoteReference"/>
        </w:rPr>
        <w:footnoteRef/>
      </w:r>
      <w:r>
        <w:t xml:space="preserve"> Cumulative mortality at one year was 4.2% (95% CI 2.2-7.8%) in patients who switched to a second-line regimen and 11.7% (7.3%-18.5%) in patients who remained on a failing first-line regimen.</w:t>
      </w:r>
      <w:r w:rsidRPr="009858A6">
        <w:t xml:space="preserve"> </w:t>
      </w:r>
      <w:r>
        <w:t>We have assumed that the MSF project sites are similar in nature to the sub-Saharan sites participating in this study by Keiser et al but this study may not be representative of all sites providing ART in these countries, or to other sub-Saharan African countries.</w:t>
      </w:r>
    </w:p>
  </w:footnote>
  <w:footnote w:id="132">
    <w:p w14:paraId="3DEB7F6D" w14:textId="77777777" w:rsidR="00971E65" w:rsidRDefault="00971E65" w:rsidP="00DF7302">
      <w:pPr>
        <w:pStyle w:val="FootnoteText"/>
      </w:pPr>
      <w:r>
        <w:rPr>
          <w:rStyle w:val="FootnoteReference"/>
        </w:rPr>
        <w:footnoteRef/>
      </w:r>
      <w:r>
        <w:t xml:space="preserve"> </w:t>
      </w:r>
      <w:r w:rsidRPr="003E29DA">
        <w:t>Keiser et al (2011). Outcomes of Antiretroviral Treatment in Programmes with and without Routine Viral Load Monitoring in Southern Africa. AIDS 25(14): 1761–1769.</w:t>
      </w:r>
      <w:r>
        <w:t xml:space="preserve"> </w:t>
      </w:r>
    </w:p>
  </w:footnote>
  <w:footnote w:id="133">
    <w:p w14:paraId="0E845271" w14:textId="77777777" w:rsidR="00971E65" w:rsidRDefault="00971E65" w:rsidP="00DF7302">
      <w:pPr>
        <w:pStyle w:val="FootnoteText"/>
      </w:pPr>
      <w:r>
        <w:rPr>
          <w:rStyle w:val="FootnoteReference"/>
        </w:rPr>
        <w:footnoteRef/>
      </w:r>
      <w:r>
        <w:t xml:space="preserve"> Data for ART cohorts and viral load coverage has been based on the Making Viral Load Routine Part 1: Programmatic Strategies document. As such, data has not been available for DRC, and has been taken from 2015. </w:t>
      </w:r>
    </w:p>
  </w:footnote>
  <w:footnote w:id="134">
    <w:p w14:paraId="65768870" w14:textId="4A0E43A4" w:rsidR="00971E65" w:rsidRDefault="00971E65">
      <w:pPr>
        <w:pStyle w:val="FootnoteText"/>
      </w:pPr>
      <w:r>
        <w:rPr>
          <w:rStyle w:val="FootnoteReference"/>
        </w:rPr>
        <w:footnoteRef/>
      </w:r>
      <w:r>
        <w:t xml:space="preserve"> Ibid</w:t>
      </w:r>
    </w:p>
  </w:footnote>
  <w:footnote w:id="135">
    <w:p w14:paraId="0A1F322D" w14:textId="623C7F24" w:rsidR="00971E65" w:rsidRDefault="00971E65">
      <w:pPr>
        <w:pStyle w:val="FootnoteText"/>
      </w:pPr>
      <w:r>
        <w:rPr>
          <w:rStyle w:val="FootnoteReference"/>
        </w:rPr>
        <w:footnoteRef/>
      </w:r>
      <w:r>
        <w:t xml:space="preserve"> Ibid</w:t>
      </w:r>
    </w:p>
  </w:footnote>
  <w:footnote w:id="136">
    <w:p w14:paraId="1BDF994C" w14:textId="77777777" w:rsidR="00971E65" w:rsidRPr="008F3E79" w:rsidRDefault="00971E65" w:rsidP="00E7231A">
      <w:pPr>
        <w:pStyle w:val="FootnoteText"/>
      </w:pPr>
      <w:r>
        <w:rPr>
          <w:rStyle w:val="FootnoteReference"/>
        </w:rPr>
        <w:footnoteRef/>
      </w:r>
      <w:r w:rsidRPr="008F3E79">
        <w:t xml:space="preserve"> </w:t>
      </w:r>
      <w:r>
        <w:t xml:space="preserve">WHO (2016). </w:t>
      </w:r>
      <w:r w:rsidRPr="008F3E79">
        <w:t>Cons</w:t>
      </w:r>
      <w:r w:rsidRPr="00131009">
        <w:t>olidated gu</w:t>
      </w:r>
      <w:r>
        <w:t>idelines on the use of antiretroviral drugs for treating and preventing HIV infection: recommendations for a public health approach (2</w:t>
      </w:r>
      <w:r w:rsidRPr="00131009">
        <w:rPr>
          <w:vertAlign w:val="superscript"/>
        </w:rPr>
        <w:t>nd</w:t>
      </w:r>
      <w:r>
        <w:t xml:space="preserve"> ed.)</w:t>
      </w:r>
      <w:r w:rsidRPr="008F3E79">
        <w:t xml:space="preserve"> </w:t>
      </w:r>
      <w:r>
        <w:t xml:space="preserve">Accessed at: </w:t>
      </w:r>
      <w:r w:rsidRPr="008F3E79">
        <w:t>http://apps.who.int/iris/bitstream/10665/208825/1/9789241549684_eng.pdf</w:t>
      </w:r>
    </w:p>
  </w:footnote>
  <w:footnote w:id="137">
    <w:p w14:paraId="6C08BB38" w14:textId="77777777" w:rsidR="00971E65" w:rsidRDefault="00971E65" w:rsidP="00E7231A">
      <w:pPr>
        <w:pStyle w:val="FootnoteText"/>
      </w:pPr>
      <w:r>
        <w:rPr>
          <w:rStyle w:val="FootnoteReference"/>
        </w:rPr>
        <w:footnoteRef/>
      </w:r>
      <w:r>
        <w:t xml:space="preserve"> </w:t>
      </w:r>
      <w:r w:rsidRPr="00DB7790">
        <w:t>Tucker et al (2014) Optimal strategies for monitoring response to antiretroviral therapy in HIV-infected adults, adolescents, children and pregnant women: a systematic review</w:t>
      </w:r>
    </w:p>
  </w:footnote>
  <w:footnote w:id="138">
    <w:p w14:paraId="26033F8B" w14:textId="640DBF55" w:rsidR="00971E65" w:rsidRDefault="00971E65" w:rsidP="00E7231A">
      <w:pPr>
        <w:pStyle w:val="FootnoteText"/>
      </w:pPr>
      <w:r>
        <w:rPr>
          <w:rStyle w:val="FootnoteReference"/>
        </w:rPr>
        <w:footnoteRef/>
      </w:r>
      <w:r>
        <w:t xml:space="preserve"> </w:t>
      </w:r>
      <w:r w:rsidRPr="00F252D7">
        <w:t>Keiser et al (2011). Outcomes of Antiretroviral Treatment in Programmes with and without Routine Viral Load Monitoring in Southern Africa. AIDS 25(14): 1761–1769</w:t>
      </w:r>
    </w:p>
  </w:footnote>
  <w:footnote w:id="139">
    <w:p w14:paraId="312310FD" w14:textId="77777777" w:rsidR="00971E65" w:rsidRDefault="00971E65" w:rsidP="00E7231A">
      <w:pPr>
        <w:pStyle w:val="FootnoteText"/>
      </w:pPr>
      <w:r>
        <w:rPr>
          <w:rStyle w:val="FootnoteReference"/>
        </w:rPr>
        <w:footnoteRef/>
      </w:r>
      <w:r>
        <w:t xml:space="preserve"> Keiser et al, (2010). Mortality after failure of antiretroviral therapy in sub-Saharan Africa. Trop Med Int Health. 2010; 15(2): 251–258. Cumulative mortality at one year was 4.2% (95% CI 2.2-7.8%) in patients who switched to a second-line regimen and 11.7% (7.3%-18.5%) in patients who remained on a failing first-line regimen. We have assumed that the MSF project sites are similar in nature to the sub-Saharan sites participating in this study by Keiser et al but this study may not be representative of all sites providing ART in these countries, or to other sub-Saharan African countries.</w:t>
      </w:r>
    </w:p>
  </w:footnote>
  <w:footnote w:id="140">
    <w:p w14:paraId="294F9733" w14:textId="77777777" w:rsidR="00971E65" w:rsidRDefault="00971E65" w:rsidP="00E7231A">
      <w:pPr>
        <w:pStyle w:val="FootnoteText"/>
      </w:pPr>
      <w:r>
        <w:rPr>
          <w:rStyle w:val="FootnoteReference"/>
        </w:rPr>
        <w:footnoteRef/>
      </w:r>
      <w:r>
        <w:t xml:space="preserve"> </w:t>
      </w:r>
      <w:r w:rsidRPr="00F252D7">
        <w:t>Keiser et al (2011). Outcomes of Antiretroviral Treatment in Programmes with and without Routine Viral Load Monitoring in Southern Africa. AIDS 25(14): 1761–1769.</w:t>
      </w:r>
    </w:p>
  </w:footnote>
  <w:footnote w:id="141">
    <w:p w14:paraId="6D683878" w14:textId="010C0806" w:rsidR="00971E65" w:rsidRDefault="00971E65" w:rsidP="00E7231A">
      <w:pPr>
        <w:pStyle w:val="FootnoteText"/>
      </w:pPr>
      <w:r>
        <w:rPr>
          <w:rStyle w:val="FootnoteReference"/>
        </w:rPr>
        <w:footnoteRef/>
      </w:r>
      <w:r>
        <w:t xml:space="preserve"> </w:t>
      </w:r>
      <w:bookmarkStart w:id="735" w:name="_Hlk507085210"/>
      <w:r w:rsidRPr="00235A2F">
        <w:t>UNAIDS 201</w:t>
      </w:r>
      <w:r>
        <w:t>7</w:t>
      </w:r>
      <w:r w:rsidRPr="00235A2F">
        <w:t>: http://www.unaids.org/sites/default/files/media_asset/20170720_Data_book_2017_en.pdf</w:t>
      </w:r>
      <w:bookmarkEnd w:id="735"/>
    </w:p>
  </w:footnote>
  <w:footnote w:id="142">
    <w:p w14:paraId="524B5598" w14:textId="77777777" w:rsidR="00971E65" w:rsidRDefault="00971E65" w:rsidP="00E7231A">
      <w:pPr>
        <w:pStyle w:val="FootnoteText"/>
      </w:pPr>
      <w:r>
        <w:rPr>
          <w:rStyle w:val="FootnoteReference"/>
        </w:rPr>
        <w:footnoteRef/>
      </w:r>
      <w:r>
        <w:t xml:space="preserve"> Kenya and South Africa have not been included as increasing VL coverage was not an aim of the project in these countries. </w:t>
      </w:r>
    </w:p>
  </w:footnote>
  <w:footnote w:id="143">
    <w:p w14:paraId="2F1F87C1" w14:textId="5D040494" w:rsidR="00971E65" w:rsidRDefault="00971E65" w:rsidP="00E7231A">
      <w:pPr>
        <w:pStyle w:val="FootnoteText"/>
      </w:pPr>
      <w:r>
        <w:rPr>
          <w:rStyle w:val="FootnoteReference"/>
        </w:rPr>
        <w:footnoteRef/>
      </w:r>
      <w:r>
        <w:t xml:space="preserve"> </w:t>
      </w:r>
      <w:r w:rsidRPr="00235A2F">
        <w:t>UNAIDS 201</w:t>
      </w:r>
      <w:r>
        <w:t>7</w:t>
      </w:r>
      <w:r w:rsidRPr="00235A2F">
        <w:t>: http://www.unaids.org/sites/default/files/media_asset/20170720_Data_book_2017_en.pdf</w:t>
      </w:r>
    </w:p>
  </w:footnote>
  <w:footnote w:id="144">
    <w:p w14:paraId="67A7C14A" w14:textId="470A1914" w:rsidR="00971E65" w:rsidRDefault="00971E65" w:rsidP="00E7231A">
      <w:pPr>
        <w:pStyle w:val="FootnoteText"/>
      </w:pPr>
      <w:r>
        <w:rPr>
          <w:rStyle w:val="FootnoteReference"/>
        </w:rPr>
        <w:footnoteRef/>
      </w:r>
      <w:r>
        <w:t xml:space="preserve"> </w:t>
      </w:r>
      <w:r w:rsidRPr="005807E5">
        <w:t xml:space="preserve">Optima model 1.0 input assumptions </w:t>
      </w:r>
      <w:r>
        <w:t xml:space="preserve">assume first line treatment failure rate of </w:t>
      </w:r>
      <w:r w:rsidRPr="005807E5">
        <w:t>10%</w:t>
      </w:r>
      <w:r>
        <w:t xml:space="preserve"> (CI </w:t>
      </w:r>
      <w:r w:rsidRPr="005807E5">
        <w:t>8%</w:t>
      </w:r>
      <w:r>
        <w:t xml:space="preserve"> - </w:t>
      </w:r>
      <w:r w:rsidRPr="005807E5">
        <w:t>12%</w:t>
      </w:r>
      <w:r>
        <w:t>)</w:t>
      </w:r>
      <w:r w:rsidRPr="005807E5">
        <w:tab/>
      </w:r>
    </w:p>
  </w:footnote>
  <w:footnote w:id="145">
    <w:p w14:paraId="29AF2D58" w14:textId="77777777" w:rsidR="00971E65" w:rsidRDefault="00971E65" w:rsidP="00E7231A">
      <w:pPr>
        <w:pStyle w:val="FootnoteText"/>
      </w:pPr>
      <w:r>
        <w:rPr>
          <w:rStyle w:val="FootnoteReference"/>
        </w:rPr>
        <w:footnoteRef/>
      </w:r>
      <w:r>
        <w:t xml:space="preserve"> </w:t>
      </w:r>
      <w:r w:rsidRPr="005807E5">
        <w:t xml:space="preserve">Haas et al </w:t>
      </w:r>
      <w:r>
        <w:t xml:space="preserve">(2015). </w:t>
      </w:r>
      <w:r w:rsidRPr="005807E5">
        <w:t>Monitoring and switching of first-line antiretroviral therapy in adult treatment cohorts in sub-Saharan Africa: collaborative analysis. Lancet HIV. 2015 Jul;2(7):e271-8</w:t>
      </w:r>
    </w:p>
  </w:footnote>
  <w:footnote w:id="146">
    <w:p w14:paraId="548A184E" w14:textId="3E258CDF" w:rsidR="00971E65" w:rsidRDefault="00971E65">
      <w:pPr>
        <w:pStyle w:val="FootnoteText"/>
      </w:pPr>
      <w:r>
        <w:rPr>
          <w:rStyle w:val="FootnoteReference"/>
        </w:rPr>
        <w:footnoteRef/>
      </w:r>
      <w:r>
        <w:t xml:space="preserve"> </w:t>
      </w:r>
      <w:r w:rsidRPr="00235A2F">
        <w:t>UNAIDS 201</w:t>
      </w:r>
      <w:r>
        <w:t>7</w:t>
      </w:r>
      <w:r w:rsidRPr="00235A2F">
        <w:t>: http://www.unaids.org/sites/default/files/media_asset/20170720_Data_book_2017_en.pdf</w:t>
      </w:r>
    </w:p>
  </w:footnote>
  <w:footnote w:id="147">
    <w:p w14:paraId="74AE8DE4" w14:textId="2C4613E6" w:rsidR="00971E65" w:rsidRDefault="00971E65">
      <w:pPr>
        <w:pStyle w:val="FootnoteText"/>
      </w:pPr>
      <w:r>
        <w:rPr>
          <w:rStyle w:val="FootnoteReference"/>
        </w:rPr>
        <w:footnoteRef/>
      </w:r>
      <w:r>
        <w:t xml:space="preserve"> </w:t>
      </w:r>
      <w:r w:rsidRPr="005807E5">
        <w:t xml:space="preserve">Haas et al </w:t>
      </w:r>
      <w:r>
        <w:t xml:space="preserve">(2015). </w:t>
      </w:r>
      <w:r w:rsidRPr="005807E5">
        <w:t>Monitoring and switching of first-line antiretroviral therapy in adult treatment cohorts in sub-Saharan Africa: collaborative analysis. Lancet HIV. 2015 Jul;2(7):e271-8</w:t>
      </w:r>
    </w:p>
  </w:footnote>
  <w:footnote w:id="148">
    <w:p w14:paraId="058F6484" w14:textId="54D87B4D" w:rsidR="00971E65" w:rsidRDefault="00971E65">
      <w:pPr>
        <w:pStyle w:val="FootnoteText"/>
      </w:pPr>
      <w:r>
        <w:rPr>
          <w:rStyle w:val="FootnoteReference"/>
        </w:rPr>
        <w:footnoteRef/>
      </w:r>
      <w:r>
        <w:t xml:space="preserve"> Keiser et al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AF15E" w14:textId="77777777" w:rsidR="00971E65" w:rsidRDefault="00971E65" w:rsidP="001256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8850" w14:textId="77777777" w:rsidR="00971E65" w:rsidRPr="00B07C17" w:rsidRDefault="00971E65" w:rsidP="00125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7D2D" w14:textId="0328898C" w:rsidR="00971E65" w:rsidRPr="00316EFA" w:rsidRDefault="00971E65" w:rsidP="0012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1B2"/>
    <w:multiLevelType w:val="hybridMultilevel"/>
    <w:tmpl w:val="79727424"/>
    <w:lvl w:ilvl="0" w:tplc="D40ED4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20926"/>
    <w:multiLevelType w:val="multilevel"/>
    <w:tmpl w:val="D57237F4"/>
    <w:styleLink w:val="StyleCEPA-BulletsOutlinenumberedBold"/>
    <w:lvl w:ilvl="0">
      <w:start w:val="1"/>
      <w:numFmt w:val="bullet"/>
      <w:lvlText w:val=""/>
      <w:lvlJc w:val="left"/>
      <w:pPr>
        <w:tabs>
          <w:tab w:val="num" w:pos="720"/>
        </w:tabs>
        <w:ind w:left="720" w:hanging="360"/>
      </w:pPr>
      <w:rPr>
        <w:rFonts w:ascii="Symbol" w:hAnsi="Symbol"/>
        <w:b/>
        <w:bCs/>
        <w:color w:val="4B86CD"/>
        <w:sz w:val="24"/>
      </w:rPr>
    </w:lvl>
    <w:lvl w:ilvl="1">
      <w:start w:val="1"/>
      <w:numFmt w:val="bullet"/>
      <w:lvlText w:val="-"/>
      <w:lvlJc w:val="left"/>
      <w:pPr>
        <w:tabs>
          <w:tab w:val="num" w:pos="1440"/>
        </w:tabs>
        <w:ind w:left="1440" w:hanging="360"/>
      </w:pPr>
      <w:rPr>
        <w:rFonts w:ascii="Courier New" w:hAnsi="Courier New"/>
        <w:color w:val="4B86CD"/>
      </w:rPr>
    </w:lvl>
    <w:lvl w:ilvl="2">
      <w:start w:val="1"/>
      <w:numFmt w:val="bullet"/>
      <w:lvlText w:val="-"/>
      <w:lvlJc w:val="left"/>
      <w:pPr>
        <w:tabs>
          <w:tab w:val="num" w:pos="2160"/>
        </w:tabs>
        <w:ind w:left="2160" w:hanging="360"/>
      </w:pPr>
      <w:rPr>
        <w:rFonts w:ascii="Garamond" w:hAnsi="Garamond"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D7FE0"/>
    <w:multiLevelType w:val="hybridMultilevel"/>
    <w:tmpl w:val="FD42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70B33"/>
    <w:multiLevelType w:val="hybridMultilevel"/>
    <w:tmpl w:val="79727424"/>
    <w:lvl w:ilvl="0" w:tplc="D40ED4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619AD"/>
    <w:multiLevelType w:val="multilevel"/>
    <w:tmpl w:val="34C6D754"/>
    <w:lvl w:ilvl="0">
      <w:start w:val="1"/>
      <w:numFmt w:val="bullet"/>
      <w:lvlText w:val=""/>
      <w:lvlJc w:val="left"/>
      <w:pPr>
        <w:tabs>
          <w:tab w:val="num" w:pos="1080"/>
        </w:tabs>
        <w:ind w:left="1080" w:hanging="360"/>
      </w:pPr>
      <w:rPr>
        <w:rFonts w:ascii="Symbol" w:hAnsi="Symbol"/>
        <w:color w:val="4B86CD"/>
        <w:sz w:val="24"/>
      </w:rPr>
    </w:lvl>
    <w:lvl w:ilvl="1">
      <w:start w:val="1"/>
      <w:numFmt w:val="bullet"/>
      <w:pStyle w:val="CEPAL2bullets"/>
      <w:lvlText w:val="o"/>
      <w:lvlJc w:val="left"/>
      <w:pPr>
        <w:tabs>
          <w:tab w:val="num" w:pos="1800"/>
        </w:tabs>
        <w:ind w:left="1800" w:hanging="360"/>
      </w:pPr>
      <w:rPr>
        <w:rFonts w:ascii="Courier New" w:hAnsi="Courier New" w:cs="Symbol" w:hint="default"/>
        <w:color w:val="4B86CD"/>
      </w:rPr>
    </w:lvl>
    <w:lvl w:ilvl="2">
      <w:start w:val="1"/>
      <w:numFmt w:val="bullet"/>
      <w:lvlText w:val="-"/>
      <w:lvlJc w:val="left"/>
      <w:pPr>
        <w:tabs>
          <w:tab w:val="num" w:pos="2520"/>
        </w:tabs>
        <w:ind w:left="2520" w:hanging="360"/>
      </w:pPr>
      <w:rPr>
        <w:rFonts w:ascii="Garamond" w:hAnsi="Garamond" w:hint="default"/>
      </w:rPr>
    </w:lvl>
    <w:lvl w:ilvl="3">
      <w:start w:val="1"/>
      <w:numFmt w:val="bullet"/>
      <w:lvlText w:val=""/>
      <w:lvlJc w:val="left"/>
      <w:pPr>
        <w:tabs>
          <w:tab w:val="num" w:pos="3240"/>
        </w:tabs>
        <w:ind w:left="3240" w:hanging="360"/>
      </w:pPr>
      <w:rPr>
        <w:rFonts w:ascii="Wingdings" w:hAnsi="Wingdings"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284B7C"/>
    <w:multiLevelType w:val="multilevel"/>
    <w:tmpl w:val="51467026"/>
    <w:lvl w:ilvl="0">
      <w:start w:val="1"/>
      <w:numFmt w:val="upperLetter"/>
      <w:pStyle w:val="Heading7"/>
      <w:lvlText w:val="ANNEX %1"/>
      <w:lvlJc w:val="left"/>
      <w:pPr>
        <w:tabs>
          <w:tab w:val="num" w:pos="1440"/>
        </w:tabs>
        <w:ind w:left="0" w:firstLine="0"/>
      </w:pPr>
      <w:rPr>
        <w:rFonts w:hint="default"/>
      </w:rPr>
    </w:lvl>
    <w:lvl w:ilvl="1">
      <w:start w:val="1"/>
      <w:numFmt w:val="decimal"/>
      <w:pStyle w:val="Heading8"/>
      <w:lvlText w:val="%1.%2."/>
      <w:lvlJc w:val="left"/>
      <w:pPr>
        <w:tabs>
          <w:tab w:val="num" w:pos="1440"/>
        </w:tabs>
        <w:ind w:left="0" w:firstLine="0"/>
      </w:pPr>
      <w:rPr>
        <w:rFonts w:hint="default"/>
      </w:rPr>
    </w:lvl>
    <w:lvl w:ilvl="2">
      <w:start w:val="1"/>
      <w:numFmt w:val="decimal"/>
      <w:pStyle w:val="Heading9"/>
      <w:lvlText w:val="%1.%2.%3."/>
      <w:lvlJc w:val="left"/>
      <w:pPr>
        <w:tabs>
          <w:tab w:val="num" w:pos="1440"/>
        </w:tabs>
        <w:ind w:left="0" w:firstLine="0"/>
      </w:pPr>
      <w:rPr>
        <w:rFonts w:hint="default"/>
      </w:rPr>
    </w:lvl>
    <w:lvl w:ilvl="3">
      <w:start w:val="1"/>
      <w:numFmt w:val="decimal"/>
      <w:lvlText w:val="%1.%2.%3.%4."/>
      <w:lvlJc w:val="left"/>
      <w:pPr>
        <w:tabs>
          <w:tab w:val="num" w:pos="144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6" w15:restartNumberingAfterBreak="0">
    <w:nsid w:val="1D853C75"/>
    <w:multiLevelType w:val="hybridMultilevel"/>
    <w:tmpl w:val="08969D1E"/>
    <w:lvl w:ilvl="0" w:tplc="457E5422">
      <w:start w:val="1"/>
      <w:numFmt w:val="bullet"/>
      <w:pStyle w:val="GreyBox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AE13E8"/>
    <w:multiLevelType w:val="hybridMultilevel"/>
    <w:tmpl w:val="A54E4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060FEC"/>
    <w:multiLevelType w:val="hybridMultilevel"/>
    <w:tmpl w:val="1C94C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01788B"/>
    <w:multiLevelType w:val="hybridMultilevel"/>
    <w:tmpl w:val="0E121F56"/>
    <w:lvl w:ilvl="0" w:tplc="8B02460E">
      <w:start w:val="1"/>
      <w:numFmt w:val="decimal"/>
      <w:lvlText w:val="%1."/>
      <w:lvlJc w:val="left"/>
      <w:pPr>
        <w:ind w:left="1128" w:hanging="768"/>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98E32DB"/>
    <w:multiLevelType w:val="hybridMultilevel"/>
    <w:tmpl w:val="5DD88680"/>
    <w:lvl w:ilvl="0" w:tplc="838ACE4C">
      <w:start w:val="1"/>
      <w:numFmt w:val="decimal"/>
      <w:lvlText w:val="%1."/>
      <w:lvlJc w:val="left"/>
      <w:pPr>
        <w:tabs>
          <w:tab w:val="num" w:pos="360"/>
        </w:tabs>
        <w:ind w:left="360" w:hanging="360"/>
      </w:pPr>
    </w:lvl>
    <w:lvl w:ilvl="1" w:tplc="B34ACBB0" w:tentative="1">
      <w:start w:val="1"/>
      <w:numFmt w:val="decimal"/>
      <w:lvlText w:val="%2."/>
      <w:lvlJc w:val="left"/>
      <w:pPr>
        <w:tabs>
          <w:tab w:val="num" w:pos="1080"/>
        </w:tabs>
        <w:ind w:left="1080" w:hanging="360"/>
      </w:pPr>
    </w:lvl>
    <w:lvl w:ilvl="2" w:tplc="9CCE2486" w:tentative="1">
      <w:start w:val="1"/>
      <w:numFmt w:val="decimal"/>
      <w:lvlText w:val="%3."/>
      <w:lvlJc w:val="left"/>
      <w:pPr>
        <w:tabs>
          <w:tab w:val="num" w:pos="1800"/>
        </w:tabs>
        <w:ind w:left="1800" w:hanging="360"/>
      </w:pPr>
    </w:lvl>
    <w:lvl w:ilvl="3" w:tplc="ABD81C70" w:tentative="1">
      <w:start w:val="1"/>
      <w:numFmt w:val="decimal"/>
      <w:lvlText w:val="%4."/>
      <w:lvlJc w:val="left"/>
      <w:pPr>
        <w:tabs>
          <w:tab w:val="num" w:pos="2520"/>
        </w:tabs>
        <w:ind w:left="2520" w:hanging="360"/>
      </w:pPr>
    </w:lvl>
    <w:lvl w:ilvl="4" w:tplc="4A527E26" w:tentative="1">
      <w:start w:val="1"/>
      <w:numFmt w:val="decimal"/>
      <w:lvlText w:val="%5."/>
      <w:lvlJc w:val="left"/>
      <w:pPr>
        <w:tabs>
          <w:tab w:val="num" w:pos="3240"/>
        </w:tabs>
        <w:ind w:left="3240" w:hanging="360"/>
      </w:pPr>
    </w:lvl>
    <w:lvl w:ilvl="5" w:tplc="F97805AA" w:tentative="1">
      <w:start w:val="1"/>
      <w:numFmt w:val="decimal"/>
      <w:lvlText w:val="%6."/>
      <w:lvlJc w:val="left"/>
      <w:pPr>
        <w:tabs>
          <w:tab w:val="num" w:pos="3960"/>
        </w:tabs>
        <w:ind w:left="3960" w:hanging="360"/>
      </w:pPr>
    </w:lvl>
    <w:lvl w:ilvl="6" w:tplc="A91C4100" w:tentative="1">
      <w:start w:val="1"/>
      <w:numFmt w:val="decimal"/>
      <w:lvlText w:val="%7."/>
      <w:lvlJc w:val="left"/>
      <w:pPr>
        <w:tabs>
          <w:tab w:val="num" w:pos="4680"/>
        </w:tabs>
        <w:ind w:left="4680" w:hanging="360"/>
      </w:pPr>
    </w:lvl>
    <w:lvl w:ilvl="7" w:tplc="2DC08468" w:tentative="1">
      <w:start w:val="1"/>
      <w:numFmt w:val="decimal"/>
      <w:lvlText w:val="%8."/>
      <w:lvlJc w:val="left"/>
      <w:pPr>
        <w:tabs>
          <w:tab w:val="num" w:pos="5400"/>
        </w:tabs>
        <w:ind w:left="5400" w:hanging="360"/>
      </w:pPr>
    </w:lvl>
    <w:lvl w:ilvl="8" w:tplc="F5264B2E" w:tentative="1">
      <w:start w:val="1"/>
      <w:numFmt w:val="decimal"/>
      <w:lvlText w:val="%9."/>
      <w:lvlJc w:val="left"/>
      <w:pPr>
        <w:tabs>
          <w:tab w:val="num" w:pos="6120"/>
        </w:tabs>
        <w:ind w:left="6120" w:hanging="360"/>
      </w:pPr>
    </w:lvl>
  </w:abstractNum>
  <w:abstractNum w:abstractNumId="11" w15:restartNumberingAfterBreak="0">
    <w:nsid w:val="3B973D13"/>
    <w:multiLevelType w:val="multilevel"/>
    <w:tmpl w:val="0D2EED08"/>
    <w:lvl w:ilvl="0">
      <w:start w:val="1"/>
      <w:numFmt w:val="bullet"/>
      <w:pStyle w:val="CEPABullets"/>
      <w:lvlText w:val=""/>
      <w:lvlJc w:val="left"/>
      <w:pPr>
        <w:ind w:left="720" w:hanging="360"/>
      </w:pPr>
      <w:rPr>
        <w:rFonts w:ascii="Symbol" w:hAnsi="Symbol" w:hint="default"/>
        <w:color w:val="275792"/>
        <w:sz w:val="24"/>
      </w:rPr>
    </w:lvl>
    <w:lvl w:ilvl="1">
      <w:start w:val="1"/>
      <w:numFmt w:val="bullet"/>
      <w:lvlText w:val="o"/>
      <w:lvlJc w:val="left"/>
      <w:pPr>
        <w:tabs>
          <w:tab w:val="num" w:pos="1440"/>
        </w:tabs>
        <w:ind w:left="1440" w:hanging="360"/>
      </w:pPr>
      <w:rPr>
        <w:rFonts w:ascii="Courier New" w:hAnsi="Courier New" w:hint="default"/>
        <w:color w:val="275792"/>
      </w:rPr>
    </w:lvl>
    <w:lvl w:ilvl="2">
      <w:start w:val="1"/>
      <w:numFmt w:val="bullet"/>
      <w:lvlText w:val="-"/>
      <w:lvlJc w:val="left"/>
      <w:pPr>
        <w:tabs>
          <w:tab w:val="num" w:pos="2160"/>
        </w:tabs>
        <w:ind w:left="2160" w:hanging="360"/>
      </w:pPr>
      <w:rPr>
        <w:rFonts w:ascii="Garamond" w:hAnsi="Garamond" w:hint="default"/>
        <w:color w:val="275792"/>
      </w:rPr>
    </w:lvl>
    <w:lvl w:ilvl="3">
      <w:start w:val="1"/>
      <w:numFmt w:val="bullet"/>
      <w:lvlText w:val=""/>
      <w:lvlJc w:val="left"/>
      <w:pPr>
        <w:tabs>
          <w:tab w:val="num" w:pos="2880"/>
        </w:tabs>
        <w:ind w:left="2880" w:hanging="360"/>
      </w:pPr>
      <w:rPr>
        <w:rFonts w:ascii="Wingdings" w:hAnsi="Wingdings" w:hint="default"/>
        <w:color w:val="27579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029DC"/>
    <w:multiLevelType w:val="hybridMultilevel"/>
    <w:tmpl w:val="7EA28A9E"/>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3F5BB2"/>
    <w:multiLevelType w:val="hybridMultilevel"/>
    <w:tmpl w:val="F9083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0536C6"/>
    <w:multiLevelType w:val="hybridMultilevel"/>
    <w:tmpl w:val="0C2C3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F709CA"/>
    <w:multiLevelType w:val="multilevel"/>
    <w:tmpl w:val="D57237F4"/>
    <w:styleLink w:val="CEPA-Bullets"/>
    <w:lvl w:ilvl="0">
      <w:start w:val="1"/>
      <w:numFmt w:val="bullet"/>
      <w:lvlText w:val=""/>
      <w:lvlJc w:val="left"/>
      <w:pPr>
        <w:tabs>
          <w:tab w:val="num" w:pos="720"/>
        </w:tabs>
        <w:ind w:left="720" w:hanging="360"/>
      </w:pPr>
      <w:rPr>
        <w:rFonts w:ascii="Symbol" w:hAnsi="Symbol"/>
        <w:color w:val="4B86CD"/>
        <w:sz w:val="24"/>
      </w:rPr>
    </w:lvl>
    <w:lvl w:ilvl="1">
      <w:start w:val="1"/>
      <w:numFmt w:val="bullet"/>
      <w:lvlText w:val="-"/>
      <w:lvlJc w:val="left"/>
      <w:pPr>
        <w:tabs>
          <w:tab w:val="num" w:pos="1440"/>
        </w:tabs>
        <w:ind w:left="1440" w:hanging="360"/>
      </w:pPr>
      <w:rPr>
        <w:rFonts w:ascii="Courier New" w:hAnsi="Courier New" w:hint="default"/>
        <w:color w:val="4B86CD"/>
      </w:rPr>
    </w:lvl>
    <w:lvl w:ilvl="2">
      <w:start w:val="1"/>
      <w:numFmt w:val="bullet"/>
      <w:lvlText w:val="-"/>
      <w:lvlJc w:val="left"/>
      <w:pPr>
        <w:tabs>
          <w:tab w:val="num" w:pos="2160"/>
        </w:tabs>
        <w:ind w:left="2160" w:hanging="360"/>
      </w:pPr>
      <w:rPr>
        <w:rFonts w:ascii="Garamond" w:hAnsi="Garamond"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8D1F6D"/>
    <w:multiLevelType w:val="hybridMultilevel"/>
    <w:tmpl w:val="8B7A4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9035A4"/>
    <w:multiLevelType w:val="hybridMultilevel"/>
    <w:tmpl w:val="F34EA1BE"/>
    <w:lvl w:ilvl="0" w:tplc="6AA6BA20">
      <w:start w:val="1"/>
      <w:numFmt w:val="bullet"/>
      <w:pStyle w:val="CEPATable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BBC2C31"/>
    <w:multiLevelType w:val="multilevel"/>
    <w:tmpl w:val="D57237F4"/>
    <w:numStyleLink w:val="CEPA-Bullets"/>
  </w:abstractNum>
  <w:abstractNum w:abstractNumId="19" w15:restartNumberingAfterBreak="0">
    <w:nsid w:val="7F9C549C"/>
    <w:multiLevelType w:val="multilevel"/>
    <w:tmpl w:val="7DD60350"/>
    <w:lvl w:ilvl="0">
      <w:start w:val="1"/>
      <w:numFmt w:val="decimal"/>
      <w:pStyle w:val="Heading1"/>
      <w:lvlText w:val="%1."/>
      <w:lvlJc w:val="left"/>
      <w:pPr>
        <w:tabs>
          <w:tab w:val="num" w:pos="1440"/>
        </w:tabs>
        <w:ind w:left="720" w:hanging="720"/>
      </w:pPr>
      <w:rPr>
        <w:rFonts w:hint="default"/>
      </w:rPr>
    </w:lvl>
    <w:lvl w:ilvl="1">
      <w:start w:val="1"/>
      <w:numFmt w:val="decimal"/>
      <w:pStyle w:val="Heading2"/>
      <w:lvlText w:val="%1.%2."/>
      <w:lvlJc w:val="left"/>
      <w:pPr>
        <w:tabs>
          <w:tab w:val="num" w:pos="1440"/>
        </w:tabs>
        <w:ind w:left="720" w:hanging="720"/>
      </w:pPr>
      <w:rPr>
        <w:rFonts w:hint="default"/>
      </w:rPr>
    </w:lvl>
    <w:lvl w:ilvl="2">
      <w:start w:val="1"/>
      <w:numFmt w:val="decimal"/>
      <w:pStyle w:val="Heading3"/>
      <w:lvlText w:val="%1.%2.%3."/>
      <w:lvlJc w:val="left"/>
      <w:pPr>
        <w:tabs>
          <w:tab w:val="num" w:pos="1440"/>
        </w:tabs>
        <w:ind w:left="720" w:hanging="720"/>
      </w:pPr>
      <w:rPr>
        <w:rFonts w:hint="default"/>
      </w:rPr>
    </w:lvl>
    <w:lvl w:ilvl="3">
      <w:start w:val="1"/>
      <w:numFmt w:val="decimal"/>
      <w:lvlText w:val="%1.%2.%3.%4."/>
      <w:lvlJc w:val="left"/>
      <w:pPr>
        <w:tabs>
          <w:tab w:val="num" w:pos="1440"/>
        </w:tabs>
        <w:ind w:left="720" w:hanging="720"/>
      </w:pPr>
      <w:rPr>
        <w:rFonts w:hint="default"/>
      </w:rPr>
    </w:lvl>
    <w:lvl w:ilvl="4">
      <w:start w:val="1"/>
      <w:numFmt w:val="decimal"/>
      <w:lvlText w:val="%1.%2.%3.%4.%5."/>
      <w:lvlJc w:val="left"/>
      <w:pPr>
        <w:tabs>
          <w:tab w:val="num" w:pos="1440"/>
        </w:tabs>
        <w:ind w:left="720" w:hanging="720"/>
      </w:pPr>
      <w:rPr>
        <w:rFonts w:hint="default"/>
      </w:rPr>
    </w:lvl>
    <w:lvl w:ilvl="5">
      <w:start w:val="1"/>
      <w:numFmt w:val="decimal"/>
      <w:lvlText w:val="%1.%2.%3.%4.%5.%6."/>
      <w:lvlJc w:val="left"/>
      <w:pPr>
        <w:tabs>
          <w:tab w:val="num" w:pos="1440"/>
        </w:tabs>
        <w:ind w:left="720" w:hanging="720"/>
      </w:pPr>
      <w:rPr>
        <w:rFonts w:hint="default"/>
      </w:rPr>
    </w:lvl>
    <w:lvl w:ilvl="6">
      <w:start w:val="1"/>
      <w:numFmt w:val="decimal"/>
      <w:lvlText w:val="%1.%2.%3.%4.%5.%6.%7."/>
      <w:lvlJc w:val="left"/>
      <w:pPr>
        <w:tabs>
          <w:tab w:val="num" w:pos="1440"/>
        </w:tabs>
        <w:ind w:left="720" w:hanging="720"/>
      </w:pPr>
      <w:rPr>
        <w:rFonts w:hint="default"/>
      </w:rPr>
    </w:lvl>
    <w:lvl w:ilvl="7">
      <w:start w:val="1"/>
      <w:numFmt w:val="decimal"/>
      <w:lvlText w:val="%1.%2.%3.%4.%5.%6.%7.%8."/>
      <w:lvlJc w:val="left"/>
      <w:pPr>
        <w:tabs>
          <w:tab w:val="num" w:pos="1440"/>
        </w:tabs>
        <w:ind w:left="720" w:hanging="720"/>
      </w:pPr>
      <w:rPr>
        <w:rFonts w:hint="default"/>
      </w:rPr>
    </w:lvl>
    <w:lvl w:ilvl="8">
      <w:start w:val="1"/>
      <w:numFmt w:val="decimal"/>
      <w:lvlText w:val="%1.%2.%3.%4.%5.%6.%7.%8.%9."/>
      <w:lvlJc w:val="left"/>
      <w:pPr>
        <w:tabs>
          <w:tab w:val="num" w:pos="1440"/>
        </w:tabs>
        <w:ind w:left="720" w:hanging="720"/>
      </w:pPr>
      <w:rPr>
        <w:rFonts w:hint="default"/>
      </w:rPr>
    </w:lvl>
  </w:abstractNum>
  <w:num w:numId="1">
    <w:abstractNumId w:val="11"/>
  </w:num>
  <w:num w:numId="2">
    <w:abstractNumId w:val="19"/>
  </w:num>
  <w:num w:numId="3">
    <w:abstractNumId w:val="5"/>
  </w:num>
  <w:num w:numId="4">
    <w:abstractNumId w:val="15"/>
  </w:num>
  <w:num w:numId="5">
    <w:abstractNumId w:val="1"/>
  </w:num>
  <w:num w:numId="6">
    <w:abstractNumId w:val="17"/>
  </w:num>
  <w:num w:numId="7">
    <w:abstractNumId w:val="18"/>
  </w:num>
  <w:num w:numId="8">
    <w:abstractNumId w:val="6"/>
  </w:num>
  <w:num w:numId="9">
    <w:abstractNumId w:val="10"/>
  </w:num>
  <w:num w:numId="10">
    <w:abstractNumId w:val="13"/>
  </w:num>
  <w:num w:numId="11">
    <w:abstractNumId w:val="2"/>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8"/>
  </w:num>
  <w:num w:numId="17">
    <w:abstractNumId w:val="7"/>
  </w:num>
  <w:num w:numId="18">
    <w:abstractNumId w:val="4"/>
  </w:num>
  <w:num w:numId="19">
    <w:abstractNumId w:val="11"/>
  </w:num>
  <w:num w:numId="20">
    <w:abstractNumId w:val="19"/>
  </w:num>
  <w:num w:numId="21">
    <w:abstractNumId w:val="5"/>
  </w:num>
  <w:num w:numId="22">
    <w:abstractNumId w:val="16"/>
  </w:num>
  <w:num w:numId="23">
    <w:abstractNumId w:val="14"/>
  </w:num>
  <w:num w:numId="2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F0"/>
    <w:rsid w:val="0000008E"/>
    <w:rsid w:val="0000073B"/>
    <w:rsid w:val="00000FC9"/>
    <w:rsid w:val="000015D3"/>
    <w:rsid w:val="000016EE"/>
    <w:rsid w:val="00001EBC"/>
    <w:rsid w:val="000021B1"/>
    <w:rsid w:val="000024E1"/>
    <w:rsid w:val="00002561"/>
    <w:rsid w:val="000025BC"/>
    <w:rsid w:val="0000316B"/>
    <w:rsid w:val="00003438"/>
    <w:rsid w:val="000037ED"/>
    <w:rsid w:val="00003DCA"/>
    <w:rsid w:val="000042AC"/>
    <w:rsid w:val="00004678"/>
    <w:rsid w:val="00004867"/>
    <w:rsid w:val="00004A24"/>
    <w:rsid w:val="00004B16"/>
    <w:rsid w:val="000050A2"/>
    <w:rsid w:val="00005194"/>
    <w:rsid w:val="00005F93"/>
    <w:rsid w:val="00006D24"/>
    <w:rsid w:val="00006E08"/>
    <w:rsid w:val="0000733E"/>
    <w:rsid w:val="0001006A"/>
    <w:rsid w:val="000108DD"/>
    <w:rsid w:val="00010CCB"/>
    <w:rsid w:val="00010D46"/>
    <w:rsid w:val="000112DF"/>
    <w:rsid w:val="00011363"/>
    <w:rsid w:val="00011E23"/>
    <w:rsid w:val="00011FE3"/>
    <w:rsid w:val="00013CFA"/>
    <w:rsid w:val="00014C38"/>
    <w:rsid w:val="00014CE5"/>
    <w:rsid w:val="00015378"/>
    <w:rsid w:val="00016138"/>
    <w:rsid w:val="0001625B"/>
    <w:rsid w:val="00017135"/>
    <w:rsid w:val="00017759"/>
    <w:rsid w:val="00017A09"/>
    <w:rsid w:val="00017EA8"/>
    <w:rsid w:val="00020DA8"/>
    <w:rsid w:val="00020E33"/>
    <w:rsid w:val="00020F6C"/>
    <w:rsid w:val="00021D92"/>
    <w:rsid w:val="0002229B"/>
    <w:rsid w:val="00022734"/>
    <w:rsid w:val="00022771"/>
    <w:rsid w:val="00023545"/>
    <w:rsid w:val="000238E4"/>
    <w:rsid w:val="00024255"/>
    <w:rsid w:val="00024FF2"/>
    <w:rsid w:val="00025783"/>
    <w:rsid w:val="00025CFB"/>
    <w:rsid w:val="000263C3"/>
    <w:rsid w:val="0002696F"/>
    <w:rsid w:val="00026F5E"/>
    <w:rsid w:val="000275B6"/>
    <w:rsid w:val="00027A18"/>
    <w:rsid w:val="00027FB2"/>
    <w:rsid w:val="00030012"/>
    <w:rsid w:val="0003093B"/>
    <w:rsid w:val="00030B49"/>
    <w:rsid w:val="000315AF"/>
    <w:rsid w:val="00031AF7"/>
    <w:rsid w:val="00031ED3"/>
    <w:rsid w:val="0003236B"/>
    <w:rsid w:val="00032E88"/>
    <w:rsid w:val="0003368A"/>
    <w:rsid w:val="00033FB5"/>
    <w:rsid w:val="00034466"/>
    <w:rsid w:val="000350C3"/>
    <w:rsid w:val="00035883"/>
    <w:rsid w:val="00035D36"/>
    <w:rsid w:val="00036020"/>
    <w:rsid w:val="00036398"/>
    <w:rsid w:val="0003724A"/>
    <w:rsid w:val="00037605"/>
    <w:rsid w:val="00037A05"/>
    <w:rsid w:val="0004043B"/>
    <w:rsid w:val="00040506"/>
    <w:rsid w:val="000408C6"/>
    <w:rsid w:val="00040CD7"/>
    <w:rsid w:val="00041B06"/>
    <w:rsid w:val="0004269F"/>
    <w:rsid w:val="00042C5C"/>
    <w:rsid w:val="00043352"/>
    <w:rsid w:val="00043440"/>
    <w:rsid w:val="000434E0"/>
    <w:rsid w:val="000434E4"/>
    <w:rsid w:val="000441AD"/>
    <w:rsid w:val="00044410"/>
    <w:rsid w:val="000446B4"/>
    <w:rsid w:val="00044765"/>
    <w:rsid w:val="0004478E"/>
    <w:rsid w:val="00044B97"/>
    <w:rsid w:val="00044D06"/>
    <w:rsid w:val="000450EE"/>
    <w:rsid w:val="000457CF"/>
    <w:rsid w:val="00045971"/>
    <w:rsid w:val="00045ADB"/>
    <w:rsid w:val="000461B9"/>
    <w:rsid w:val="00046235"/>
    <w:rsid w:val="0004663D"/>
    <w:rsid w:val="000475FE"/>
    <w:rsid w:val="00047BE3"/>
    <w:rsid w:val="00047F3B"/>
    <w:rsid w:val="0005011F"/>
    <w:rsid w:val="00051690"/>
    <w:rsid w:val="0005227D"/>
    <w:rsid w:val="0005228F"/>
    <w:rsid w:val="00052F12"/>
    <w:rsid w:val="00053104"/>
    <w:rsid w:val="000533FF"/>
    <w:rsid w:val="000536FB"/>
    <w:rsid w:val="000538C5"/>
    <w:rsid w:val="00053AAA"/>
    <w:rsid w:val="00053AAB"/>
    <w:rsid w:val="000540E7"/>
    <w:rsid w:val="00054312"/>
    <w:rsid w:val="0005460E"/>
    <w:rsid w:val="00054A82"/>
    <w:rsid w:val="00054BF6"/>
    <w:rsid w:val="00055F9B"/>
    <w:rsid w:val="000565BA"/>
    <w:rsid w:val="00056874"/>
    <w:rsid w:val="0005702F"/>
    <w:rsid w:val="00062770"/>
    <w:rsid w:val="00062C56"/>
    <w:rsid w:val="00063079"/>
    <w:rsid w:val="000635E2"/>
    <w:rsid w:val="00063D87"/>
    <w:rsid w:val="0006456F"/>
    <w:rsid w:val="0006462A"/>
    <w:rsid w:val="00064A72"/>
    <w:rsid w:val="00064C81"/>
    <w:rsid w:val="000658C0"/>
    <w:rsid w:val="00065F3E"/>
    <w:rsid w:val="0006606E"/>
    <w:rsid w:val="000667B6"/>
    <w:rsid w:val="00066C47"/>
    <w:rsid w:val="00066C7A"/>
    <w:rsid w:val="00067DA6"/>
    <w:rsid w:val="0007066A"/>
    <w:rsid w:val="00070BCD"/>
    <w:rsid w:val="00070F58"/>
    <w:rsid w:val="000710E1"/>
    <w:rsid w:val="00071215"/>
    <w:rsid w:val="00071463"/>
    <w:rsid w:val="000719E1"/>
    <w:rsid w:val="00071B03"/>
    <w:rsid w:val="00072190"/>
    <w:rsid w:val="0007293C"/>
    <w:rsid w:val="0007349D"/>
    <w:rsid w:val="00073FA6"/>
    <w:rsid w:val="00074FD2"/>
    <w:rsid w:val="00075852"/>
    <w:rsid w:val="00076CAB"/>
    <w:rsid w:val="00076CDA"/>
    <w:rsid w:val="00076CFF"/>
    <w:rsid w:val="00077ADD"/>
    <w:rsid w:val="00081BF2"/>
    <w:rsid w:val="000827E0"/>
    <w:rsid w:val="00082BF0"/>
    <w:rsid w:val="0008325B"/>
    <w:rsid w:val="0008332E"/>
    <w:rsid w:val="000836F7"/>
    <w:rsid w:val="0008376F"/>
    <w:rsid w:val="00083DBD"/>
    <w:rsid w:val="0008449C"/>
    <w:rsid w:val="00084B45"/>
    <w:rsid w:val="00084B8B"/>
    <w:rsid w:val="00084DA0"/>
    <w:rsid w:val="0008542C"/>
    <w:rsid w:val="00085D11"/>
    <w:rsid w:val="0008601A"/>
    <w:rsid w:val="00086283"/>
    <w:rsid w:val="00086782"/>
    <w:rsid w:val="0008682B"/>
    <w:rsid w:val="00086D3D"/>
    <w:rsid w:val="00087374"/>
    <w:rsid w:val="000876BB"/>
    <w:rsid w:val="00091D39"/>
    <w:rsid w:val="000921D1"/>
    <w:rsid w:val="00092854"/>
    <w:rsid w:val="00092DA1"/>
    <w:rsid w:val="0009363B"/>
    <w:rsid w:val="00093AAF"/>
    <w:rsid w:val="00093AD2"/>
    <w:rsid w:val="00094C70"/>
    <w:rsid w:val="000958D4"/>
    <w:rsid w:val="000967DA"/>
    <w:rsid w:val="0009696C"/>
    <w:rsid w:val="000976F0"/>
    <w:rsid w:val="00097996"/>
    <w:rsid w:val="00097C40"/>
    <w:rsid w:val="000A0252"/>
    <w:rsid w:val="000A0509"/>
    <w:rsid w:val="000A0746"/>
    <w:rsid w:val="000A1645"/>
    <w:rsid w:val="000A1E20"/>
    <w:rsid w:val="000A1EE4"/>
    <w:rsid w:val="000A223F"/>
    <w:rsid w:val="000A23D6"/>
    <w:rsid w:val="000A2991"/>
    <w:rsid w:val="000A2BDD"/>
    <w:rsid w:val="000A3AED"/>
    <w:rsid w:val="000A47E6"/>
    <w:rsid w:val="000A54A8"/>
    <w:rsid w:val="000A5EE5"/>
    <w:rsid w:val="000A5F83"/>
    <w:rsid w:val="000A69F4"/>
    <w:rsid w:val="000A6C1E"/>
    <w:rsid w:val="000A76AE"/>
    <w:rsid w:val="000A7892"/>
    <w:rsid w:val="000A7A7C"/>
    <w:rsid w:val="000B0166"/>
    <w:rsid w:val="000B051F"/>
    <w:rsid w:val="000B0817"/>
    <w:rsid w:val="000B0922"/>
    <w:rsid w:val="000B19E8"/>
    <w:rsid w:val="000B1A93"/>
    <w:rsid w:val="000B31F6"/>
    <w:rsid w:val="000B3B70"/>
    <w:rsid w:val="000B3DD3"/>
    <w:rsid w:val="000B4253"/>
    <w:rsid w:val="000B520F"/>
    <w:rsid w:val="000B533B"/>
    <w:rsid w:val="000B545B"/>
    <w:rsid w:val="000B6B9F"/>
    <w:rsid w:val="000B74D0"/>
    <w:rsid w:val="000C04A2"/>
    <w:rsid w:val="000C0DB0"/>
    <w:rsid w:val="000C17C1"/>
    <w:rsid w:val="000C1B7B"/>
    <w:rsid w:val="000C2336"/>
    <w:rsid w:val="000C2675"/>
    <w:rsid w:val="000C2682"/>
    <w:rsid w:val="000C3134"/>
    <w:rsid w:val="000C3609"/>
    <w:rsid w:val="000C37F0"/>
    <w:rsid w:val="000C3FFF"/>
    <w:rsid w:val="000C525D"/>
    <w:rsid w:val="000C5F48"/>
    <w:rsid w:val="000C6CB3"/>
    <w:rsid w:val="000C7000"/>
    <w:rsid w:val="000C743C"/>
    <w:rsid w:val="000C77B2"/>
    <w:rsid w:val="000D04DD"/>
    <w:rsid w:val="000D0D15"/>
    <w:rsid w:val="000D14D2"/>
    <w:rsid w:val="000D1684"/>
    <w:rsid w:val="000D19E8"/>
    <w:rsid w:val="000D1B84"/>
    <w:rsid w:val="000D2757"/>
    <w:rsid w:val="000D397B"/>
    <w:rsid w:val="000D3AE9"/>
    <w:rsid w:val="000D4143"/>
    <w:rsid w:val="000D533C"/>
    <w:rsid w:val="000D56B6"/>
    <w:rsid w:val="000D578A"/>
    <w:rsid w:val="000D598A"/>
    <w:rsid w:val="000D5A28"/>
    <w:rsid w:val="000D5ABD"/>
    <w:rsid w:val="000D5FD3"/>
    <w:rsid w:val="000D6033"/>
    <w:rsid w:val="000D623C"/>
    <w:rsid w:val="000D6395"/>
    <w:rsid w:val="000D7152"/>
    <w:rsid w:val="000D737C"/>
    <w:rsid w:val="000D7CBE"/>
    <w:rsid w:val="000E01BB"/>
    <w:rsid w:val="000E07D0"/>
    <w:rsid w:val="000E1270"/>
    <w:rsid w:val="000E13AC"/>
    <w:rsid w:val="000E18C0"/>
    <w:rsid w:val="000E1903"/>
    <w:rsid w:val="000E1CBE"/>
    <w:rsid w:val="000E2066"/>
    <w:rsid w:val="000E238E"/>
    <w:rsid w:val="000E2768"/>
    <w:rsid w:val="000E3EA8"/>
    <w:rsid w:val="000E4235"/>
    <w:rsid w:val="000E4B81"/>
    <w:rsid w:val="000E50FF"/>
    <w:rsid w:val="000E548F"/>
    <w:rsid w:val="000E5A1C"/>
    <w:rsid w:val="000E5C03"/>
    <w:rsid w:val="000E694A"/>
    <w:rsid w:val="000E6969"/>
    <w:rsid w:val="000E7243"/>
    <w:rsid w:val="000E7326"/>
    <w:rsid w:val="000E7EB1"/>
    <w:rsid w:val="000E7ECD"/>
    <w:rsid w:val="000E7F11"/>
    <w:rsid w:val="000F0522"/>
    <w:rsid w:val="000F0748"/>
    <w:rsid w:val="000F07C7"/>
    <w:rsid w:val="000F17C7"/>
    <w:rsid w:val="000F18C6"/>
    <w:rsid w:val="000F2F7E"/>
    <w:rsid w:val="000F36BB"/>
    <w:rsid w:val="000F4E7E"/>
    <w:rsid w:val="000F518B"/>
    <w:rsid w:val="000F59C7"/>
    <w:rsid w:val="000F647C"/>
    <w:rsid w:val="000F680B"/>
    <w:rsid w:val="000F6A43"/>
    <w:rsid w:val="000F6C84"/>
    <w:rsid w:val="000F7060"/>
    <w:rsid w:val="000F77FD"/>
    <w:rsid w:val="000F7AF2"/>
    <w:rsid w:val="000F7BD7"/>
    <w:rsid w:val="0010031A"/>
    <w:rsid w:val="00100627"/>
    <w:rsid w:val="0010080D"/>
    <w:rsid w:val="0010151C"/>
    <w:rsid w:val="00101624"/>
    <w:rsid w:val="001019E0"/>
    <w:rsid w:val="00102155"/>
    <w:rsid w:val="00102E22"/>
    <w:rsid w:val="001036D8"/>
    <w:rsid w:val="00103A0D"/>
    <w:rsid w:val="001049D8"/>
    <w:rsid w:val="00104E54"/>
    <w:rsid w:val="0010513B"/>
    <w:rsid w:val="00105412"/>
    <w:rsid w:val="00105C6B"/>
    <w:rsid w:val="001062C0"/>
    <w:rsid w:val="00107350"/>
    <w:rsid w:val="00107977"/>
    <w:rsid w:val="0011025F"/>
    <w:rsid w:val="001108FC"/>
    <w:rsid w:val="001112E8"/>
    <w:rsid w:val="00111914"/>
    <w:rsid w:val="00111A91"/>
    <w:rsid w:val="00112909"/>
    <w:rsid w:val="00112FC2"/>
    <w:rsid w:val="001132E8"/>
    <w:rsid w:val="0011347E"/>
    <w:rsid w:val="001135DF"/>
    <w:rsid w:val="00113D6A"/>
    <w:rsid w:val="00113E2D"/>
    <w:rsid w:val="00114FB6"/>
    <w:rsid w:val="00115180"/>
    <w:rsid w:val="00116537"/>
    <w:rsid w:val="0011672A"/>
    <w:rsid w:val="00116D0F"/>
    <w:rsid w:val="00120A4F"/>
    <w:rsid w:val="00120CC5"/>
    <w:rsid w:val="00120CFF"/>
    <w:rsid w:val="001214D5"/>
    <w:rsid w:val="001218FF"/>
    <w:rsid w:val="001221E0"/>
    <w:rsid w:val="00122315"/>
    <w:rsid w:val="00122623"/>
    <w:rsid w:val="00122F2F"/>
    <w:rsid w:val="00123451"/>
    <w:rsid w:val="0012370A"/>
    <w:rsid w:val="00123BA6"/>
    <w:rsid w:val="00124A47"/>
    <w:rsid w:val="00124E3E"/>
    <w:rsid w:val="00124ED1"/>
    <w:rsid w:val="00125677"/>
    <w:rsid w:val="001256CE"/>
    <w:rsid w:val="00126039"/>
    <w:rsid w:val="0012639E"/>
    <w:rsid w:val="0012642A"/>
    <w:rsid w:val="00126500"/>
    <w:rsid w:val="00126638"/>
    <w:rsid w:val="0012758D"/>
    <w:rsid w:val="00127B45"/>
    <w:rsid w:val="00130E71"/>
    <w:rsid w:val="001314DA"/>
    <w:rsid w:val="00131A05"/>
    <w:rsid w:val="00132466"/>
    <w:rsid w:val="00133A7A"/>
    <w:rsid w:val="00133F5C"/>
    <w:rsid w:val="00134286"/>
    <w:rsid w:val="001350B6"/>
    <w:rsid w:val="00136273"/>
    <w:rsid w:val="001375F9"/>
    <w:rsid w:val="001378F3"/>
    <w:rsid w:val="00137DC3"/>
    <w:rsid w:val="0014099B"/>
    <w:rsid w:val="0014182D"/>
    <w:rsid w:val="00141C1A"/>
    <w:rsid w:val="0014285B"/>
    <w:rsid w:val="00142957"/>
    <w:rsid w:val="00142F24"/>
    <w:rsid w:val="00143399"/>
    <w:rsid w:val="00143520"/>
    <w:rsid w:val="001440C9"/>
    <w:rsid w:val="00144804"/>
    <w:rsid w:val="00144B4E"/>
    <w:rsid w:val="0014578C"/>
    <w:rsid w:val="00145CAD"/>
    <w:rsid w:val="00145ED1"/>
    <w:rsid w:val="00145F23"/>
    <w:rsid w:val="001467A2"/>
    <w:rsid w:val="00146BBE"/>
    <w:rsid w:val="00146DE5"/>
    <w:rsid w:val="00147006"/>
    <w:rsid w:val="001472EE"/>
    <w:rsid w:val="00147455"/>
    <w:rsid w:val="00147A25"/>
    <w:rsid w:val="00147DEB"/>
    <w:rsid w:val="00150FBD"/>
    <w:rsid w:val="00151EF2"/>
    <w:rsid w:val="00151FC5"/>
    <w:rsid w:val="001525F2"/>
    <w:rsid w:val="001526EA"/>
    <w:rsid w:val="001533E3"/>
    <w:rsid w:val="00154336"/>
    <w:rsid w:val="00154445"/>
    <w:rsid w:val="00155240"/>
    <w:rsid w:val="00155E58"/>
    <w:rsid w:val="0015634A"/>
    <w:rsid w:val="00156667"/>
    <w:rsid w:val="00156C4C"/>
    <w:rsid w:val="00157176"/>
    <w:rsid w:val="001575E3"/>
    <w:rsid w:val="00160910"/>
    <w:rsid w:val="00160C51"/>
    <w:rsid w:val="00160F9D"/>
    <w:rsid w:val="001611EA"/>
    <w:rsid w:val="00161441"/>
    <w:rsid w:val="00161651"/>
    <w:rsid w:val="00161B36"/>
    <w:rsid w:val="00161BB7"/>
    <w:rsid w:val="00161EA0"/>
    <w:rsid w:val="00162A7A"/>
    <w:rsid w:val="00162D17"/>
    <w:rsid w:val="0016390B"/>
    <w:rsid w:val="00163A6F"/>
    <w:rsid w:val="00163CB8"/>
    <w:rsid w:val="00163F8C"/>
    <w:rsid w:val="00164731"/>
    <w:rsid w:val="00164ACF"/>
    <w:rsid w:val="00164E0A"/>
    <w:rsid w:val="001659B2"/>
    <w:rsid w:val="00165DE8"/>
    <w:rsid w:val="00166542"/>
    <w:rsid w:val="001668D9"/>
    <w:rsid w:val="001668E7"/>
    <w:rsid w:val="00166F92"/>
    <w:rsid w:val="00167F64"/>
    <w:rsid w:val="001701E3"/>
    <w:rsid w:val="001705DA"/>
    <w:rsid w:val="00170729"/>
    <w:rsid w:val="001709D8"/>
    <w:rsid w:val="00170B79"/>
    <w:rsid w:val="00170EAA"/>
    <w:rsid w:val="00171083"/>
    <w:rsid w:val="00171AD3"/>
    <w:rsid w:val="00172324"/>
    <w:rsid w:val="0017344E"/>
    <w:rsid w:val="001734B5"/>
    <w:rsid w:val="00173DEB"/>
    <w:rsid w:val="00173E85"/>
    <w:rsid w:val="00174182"/>
    <w:rsid w:val="00174E20"/>
    <w:rsid w:val="00175856"/>
    <w:rsid w:val="00175AE4"/>
    <w:rsid w:val="00175C18"/>
    <w:rsid w:val="001761E2"/>
    <w:rsid w:val="00176BBB"/>
    <w:rsid w:val="00176C7E"/>
    <w:rsid w:val="00177625"/>
    <w:rsid w:val="00177A43"/>
    <w:rsid w:val="00177B7F"/>
    <w:rsid w:val="00177B81"/>
    <w:rsid w:val="00177D09"/>
    <w:rsid w:val="00180203"/>
    <w:rsid w:val="001809E4"/>
    <w:rsid w:val="00181B70"/>
    <w:rsid w:val="0018275C"/>
    <w:rsid w:val="00182826"/>
    <w:rsid w:val="00183069"/>
    <w:rsid w:val="001831CF"/>
    <w:rsid w:val="00183354"/>
    <w:rsid w:val="0018377F"/>
    <w:rsid w:val="00183C3C"/>
    <w:rsid w:val="001845CC"/>
    <w:rsid w:val="001846CF"/>
    <w:rsid w:val="00184A8F"/>
    <w:rsid w:val="00185426"/>
    <w:rsid w:val="00185FBB"/>
    <w:rsid w:val="001867AF"/>
    <w:rsid w:val="00187270"/>
    <w:rsid w:val="001872E8"/>
    <w:rsid w:val="00187439"/>
    <w:rsid w:val="00187764"/>
    <w:rsid w:val="00187847"/>
    <w:rsid w:val="00190196"/>
    <w:rsid w:val="00190277"/>
    <w:rsid w:val="0019028B"/>
    <w:rsid w:val="00190661"/>
    <w:rsid w:val="001906D7"/>
    <w:rsid w:val="0019093A"/>
    <w:rsid w:val="00190E40"/>
    <w:rsid w:val="00191362"/>
    <w:rsid w:val="001917DE"/>
    <w:rsid w:val="00192092"/>
    <w:rsid w:val="00192AFA"/>
    <w:rsid w:val="0019393F"/>
    <w:rsid w:val="00193964"/>
    <w:rsid w:val="00194F16"/>
    <w:rsid w:val="001963DB"/>
    <w:rsid w:val="00196926"/>
    <w:rsid w:val="0019698E"/>
    <w:rsid w:val="00196ABC"/>
    <w:rsid w:val="00197863"/>
    <w:rsid w:val="00197E1D"/>
    <w:rsid w:val="001A06BB"/>
    <w:rsid w:val="001A08A8"/>
    <w:rsid w:val="001A0C59"/>
    <w:rsid w:val="001A1056"/>
    <w:rsid w:val="001A2983"/>
    <w:rsid w:val="001A4736"/>
    <w:rsid w:val="001A5045"/>
    <w:rsid w:val="001A5759"/>
    <w:rsid w:val="001A5804"/>
    <w:rsid w:val="001A5C21"/>
    <w:rsid w:val="001A6391"/>
    <w:rsid w:val="001A6E84"/>
    <w:rsid w:val="001A7182"/>
    <w:rsid w:val="001A7CE1"/>
    <w:rsid w:val="001B0A88"/>
    <w:rsid w:val="001B0B6A"/>
    <w:rsid w:val="001B0DAF"/>
    <w:rsid w:val="001B1C40"/>
    <w:rsid w:val="001B26F4"/>
    <w:rsid w:val="001B2CFE"/>
    <w:rsid w:val="001B3555"/>
    <w:rsid w:val="001B3BBE"/>
    <w:rsid w:val="001B3E96"/>
    <w:rsid w:val="001B422B"/>
    <w:rsid w:val="001B43BD"/>
    <w:rsid w:val="001B45C0"/>
    <w:rsid w:val="001B4723"/>
    <w:rsid w:val="001B4977"/>
    <w:rsid w:val="001B4A34"/>
    <w:rsid w:val="001B4BE9"/>
    <w:rsid w:val="001B4F8C"/>
    <w:rsid w:val="001B54F0"/>
    <w:rsid w:val="001B59C5"/>
    <w:rsid w:val="001B6423"/>
    <w:rsid w:val="001B684D"/>
    <w:rsid w:val="001B72E2"/>
    <w:rsid w:val="001B7B31"/>
    <w:rsid w:val="001B7EE6"/>
    <w:rsid w:val="001C018F"/>
    <w:rsid w:val="001C16F9"/>
    <w:rsid w:val="001C1D8F"/>
    <w:rsid w:val="001C2219"/>
    <w:rsid w:val="001C253D"/>
    <w:rsid w:val="001C2718"/>
    <w:rsid w:val="001C2CE3"/>
    <w:rsid w:val="001C351E"/>
    <w:rsid w:val="001C3719"/>
    <w:rsid w:val="001C3765"/>
    <w:rsid w:val="001C3D0F"/>
    <w:rsid w:val="001C41F1"/>
    <w:rsid w:val="001C4E40"/>
    <w:rsid w:val="001C519B"/>
    <w:rsid w:val="001C5698"/>
    <w:rsid w:val="001C58DB"/>
    <w:rsid w:val="001C5AB4"/>
    <w:rsid w:val="001C6E84"/>
    <w:rsid w:val="001C6F31"/>
    <w:rsid w:val="001C78FE"/>
    <w:rsid w:val="001C7B58"/>
    <w:rsid w:val="001C7D98"/>
    <w:rsid w:val="001D093F"/>
    <w:rsid w:val="001D0BE5"/>
    <w:rsid w:val="001D10A0"/>
    <w:rsid w:val="001D1487"/>
    <w:rsid w:val="001D14E0"/>
    <w:rsid w:val="001D1AA2"/>
    <w:rsid w:val="001D1BD4"/>
    <w:rsid w:val="001D23BA"/>
    <w:rsid w:val="001D25A5"/>
    <w:rsid w:val="001D3C41"/>
    <w:rsid w:val="001D505A"/>
    <w:rsid w:val="001D53CF"/>
    <w:rsid w:val="001D5583"/>
    <w:rsid w:val="001D560A"/>
    <w:rsid w:val="001D5902"/>
    <w:rsid w:val="001D5F74"/>
    <w:rsid w:val="001D6826"/>
    <w:rsid w:val="001D6AD3"/>
    <w:rsid w:val="001D7008"/>
    <w:rsid w:val="001D781D"/>
    <w:rsid w:val="001D781E"/>
    <w:rsid w:val="001E1D70"/>
    <w:rsid w:val="001E1F39"/>
    <w:rsid w:val="001E1F6C"/>
    <w:rsid w:val="001E21E7"/>
    <w:rsid w:val="001E24B3"/>
    <w:rsid w:val="001E27A1"/>
    <w:rsid w:val="001E2B84"/>
    <w:rsid w:val="001E2DF9"/>
    <w:rsid w:val="001E3596"/>
    <w:rsid w:val="001E4239"/>
    <w:rsid w:val="001E4ACA"/>
    <w:rsid w:val="001E6058"/>
    <w:rsid w:val="001E6602"/>
    <w:rsid w:val="001E6634"/>
    <w:rsid w:val="001E67B4"/>
    <w:rsid w:val="001E6CC6"/>
    <w:rsid w:val="001E712D"/>
    <w:rsid w:val="001F048D"/>
    <w:rsid w:val="001F06AF"/>
    <w:rsid w:val="001F0812"/>
    <w:rsid w:val="001F0C17"/>
    <w:rsid w:val="001F1353"/>
    <w:rsid w:val="001F2C94"/>
    <w:rsid w:val="001F317C"/>
    <w:rsid w:val="001F372B"/>
    <w:rsid w:val="001F37B2"/>
    <w:rsid w:val="001F3AED"/>
    <w:rsid w:val="001F3C79"/>
    <w:rsid w:val="001F3CAE"/>
    <w:rsid w:val="001F3DF8"/>
    <w:rsid w:val="001F3F34"/>
    <w:rsid w:val="001F419E"/>
    <w:rsid w:val="001F531A"/>
    <w:rsid w:val="001F548F"/>
    <w:rsid w:val="001F7410"/>
    <w:rsid w:val="001F7978"/>
    <w:rsid w:val="001F7F03"/>
    <w:rsid w:val="00200086"/>
    <w:rsid w:val="00200975"/>
    <w:rsid w:val="00200A37"/>
    <w:rsid w:val="00200B12"/>
    <w:rsid w:val="00201CAC"/>
    <w:rsid w:val="00202332"/>
    <w:rsid w:val="0020259D"/>
    <w:rsid w:val="002025F0"/>
    <w:rsid w:val="0020272F"/>
    <w:rsid w:val="00202F00"/>
    <w:rsid w:val="00203849"/>
    <w:rsid w:val="00204637"/>
    <w:rsid w:val="00204C0E"/>
    <w:rsid w:val="00204DCB"/>
    <w:rsid w:val="0020511D"/>
    <w:rsid w:val="00205A26"/>
    <w:rsid w:val="00205ADA"/>
    <w:rsid w:val="0020684B"/>
    <w:rsid w:val="00206BAD"/>
    <w:rsid w:val="00206DEC"/>
    <w:rsid w:val="00207C32"/>
    <w:rsid w:val="00207DAD"/>
    <w:rsid w:val="00207E59"/>
    <w:rsid w:val="002101A2"/>
    <w:rsid w:val="002101A5"/>
    <w:rsid w:val="00211211"/>
    <w:rsid w:val="00211B17"/>
    <w:rsid w:val="00211EF9"/>
    <w:rsid w:val="002126BD"/>
    <w:rsid w:val="00212943"/>
    <w:rsid w:val="00213705"/>
    <w:rsid w:val="00213822"/>
    <w:rsid w:val="0021458B"/>
    <w:rsid w:val="00214B58"/>
    <w:rsid w:val="00214F01"/>
    <w:rsid w:val="00215BCE"/>
    <w:rsid w:val="00215F20"/>
    <w:rsid w:val="0021602A"/>
    <w:rsid w:val="00216107"/>
    <w:rsid w:val="00216553"/>
    <w:rsid w:val="00216809"/>
    <w:rsid w:val="00216AB3"/>
    <w:rsid w:val="00216BA9"/>
    <w:rsid w:val="00220089"/>
    <w:rsid w:val="002207A1"/>
    <w:rsid w:val="00221369"/>
    <w:rsid w:val="002213EB"/>
    <w:rsid w:val="00221ACB"/>
    <w:rsid w:val="00221B0B"/>
    <w:rsid w:val="00221E4E"/>
    <w:rsid w:val="00222614"/>
    <w:rsid w:val="00222EF8"/>
    <w:rsid w:val="00222F52"/>
    <w:rsid w:val="002235F9"/>
    <w:rsid w:val="0022487B"/>
    <w:rsid w:val="00224C36"/>
    <w:rsid w:val="00224C71"/>
    <w:rsid w:val="00224EF4"/>
    <w:rsid w:val="0022595B"/>
    <w:rsid w:val="00225B6F"/>
    <w:rsid w:val="00225C69"/>
    <w:rsid w:val="0022681D"/>
    <w:rsid w:val="00226F3D"/>
    <w:rsid w:val="00227AB4"/>
    <w:rsid w:val="00227FF0"/>
    <w:rsid w:val="00230904"/>
    <w:rsid w:val="00230C66"/>
    <w:rsid w:val="00231184"/>
    <w:rsid w:val="00231829"/>
    <w:rsid w:val="00231942"/>
    <w:rsid w:val="00231D3F"/>
    <w:rsid w:val="0023228B"/>
    <w:rsid w:val="00232CCE"/>
    <w:rsid w:val="002331C2"/>
    <w:rsid w:val="00233D43"/>
    <w:rsid w:val="00233F9B"/>
    <w:rsid w:val="00234F1B"/>
    <w:rsid w:val="002354B9"/>
    <w:rsid w:val="0023585E"/>
    <w:rsid w:val="00235922"/>
    <w:rsid w:val="00235938"/>
    <w:rsid w:val="00235F53"/>
    <w:rsid w:val="00236822"/>
    <w:rsid w:val="00236841"/>
    <w:rsid w:val="00236E19"/>
    <w:rsid w:val="00237994"/>
    <w:rsid w:val="00237EF0"/>
    <w:rsid w:val="002412E7"/>
    <w:rsid w:val="002417EA"/>
    <w:rsid w:val="00241C33"/>
    <w:rsid w:val="00241E45"/>
    <w:rsid w:val="002425E4"/>
    <w:rsid w:val="002428AF"/>
    <w:rsid w:val="00242907"/>
    <w:rsid w:val="00243191"/>
    <w:rsid w:val="002434F4"/>
    <w:rsid w:val="002445AE"/>
    <w:rsid w:val="00244F36"/>
    <w:rsid w:val="00245486"/>
    <w:rsid w:val="00245D73"/>
    <w:rsid w:val="00245D98"/>
    <w:rsid w:val="00246825"/>
    <w:rsid w:val="00247964"/>
    <w:rsid w:val="00247DA1"/>
    <w:rsid w:val="0025070A"/>
    <w:rsid w:val="002507F9"/>
    <w:rsid w:val="00250895"/>
    <w:rsid w:val="00250B23"/>
    <w:rsid w:val="0025158C"/>
    <w:rsid w:val="00251DEA"/>
    <w:rsid w:val="00252278"/>
    <w:rsid w:val="00252707"/>
    <w:rsid w:val="002527D2"/>
    <w:rsid w:val="00252C0E"/>
    <w:rsid w:val="00253849"/>
    <w:rsid w:val="00254615"/>
    <w:rsid w:val="00254632"/>
    <w:rsid w:val="002546A1"/>
    <w:rsid w:val="0025487A"/>
    <w:rsid w:val="00255174"/>
    <w:rsid w:val="002553EC"/>
    <w:rsid w:val="00256444"/>
    <w:rsid w:val="00256790"/>
    <w:rsid w:val="00256E27"/>
    <w:rsid w:val="00256FC1"/>
    <w:rsid w:val="0025721B"/>
    <w:rsid w:val="00257332"/>
    <w:rsid w:val="00257830"/>
    <w:rsid w:val="00257DD8"/>
    <w:rsid w:val="00260272"/>
    <w:rsid w:val="00260E1E"/>
    <w:rsid w:val="002619C9"/>
    <w:rsid w:val="00261DDB"/>
    <w:rsid w:val="00262B47"/>
    <w:rsid w:val="00262B6F"/>
    <w:rsid w:val="00262B8E"/>
    <w:rsid w:val="00264046"/>
    <w:rsid w:val="0026448D"/>
    <w:rsid w:val="0026453B"/>
    <w:rsid w:val="0026473E"/>
    <w:rsid w:val="00265515"/>
    <w:rsid w:val="002660E5"/>
    <w:rsid w:val="002662C9"/>
    <w:rsid w:val="00266C50"/>
    <w:rsid w:val="00267171"/>
    <w:rsid w:val="0026735C"/>
    <w:rsid w:val="00267A98"/>
    <w:rsid w:val="00267B8A"/>
    <w:rsid w:val="00267C8D"/>
    <w:rsid w:val="00270119"/>
    <w:rsid w:val="002704C1"/>
    <w:rsid w:val="00270B6E"/>
    <w:rsid w:val="00270D77"/>
    <w:rsid w:val="00270EA8"/>
    <w:rsid w:val="00271625"/>
    <w:rsid w:val="002716CC"/>
    <w:rsid w:val="0027173A"/>
    <w:rsid w:val="00271771"/>
    <w:rsid w:val="002719D8"/>
    <w:rsid w:val="00272448"/>
    <w:rsid w:val="00272D46"/>
    <w:rsid w:val="002738E4"/>
    <w:rsid w:val="002738E9"/>
    <w:rsid w:val="00273A03"/>
    <w:rsid w:val="00273DE1"/>
    <w:rsid w:val="0027455B"/>
    <w:rsid w:val="00274B72"/>
    <w:rsid w:val="00275124"/>
    <w:rsid w:val="002751D7"/>
    <w:rsid w:val="00275819"/>
    <w:rsid w:val="00275C5C"/>
    <w:rsid w:val="00275D40"/>
    <w:rsid w:val="00276572"/>
    <w:rsid w:val="002767BF"/>
    <w:rsid w:val="0028003E"/>
    <w:rsid w:val="0028084D"/>
    <w:rsid w:val="00280C9A"/>
    <w:rsid w:val="00280EAC"/>
    <w:rsid w:val="002824A1"/>
    <w:rsid w:val="00282AAE"/>
    <w:rsid w:val="00283A1C"/>
    <w:rsid w:val="002844B9"/>
    <w:rsid w:val="002844CB"/>
    <w:rsid w:val="00284943"/>
    <w:rsid w:val="00284994"/>
    <w:rsid w:val="00284F57"/>
    <w:rsid w:val="0028586E"/>
    <w:rsid w:val="00285C04"/>
    <w:rsid w:val="00285FA1"/>
    <w:rsid w:val="00286ACB"/>
    <w:rsid w:val="00286C86"/>
    <w:rsid w:val="002870D4"/>
    <w:rsid w:val="00287F33"/>
    <w:rsid w:val="00291C8A"/>
    <w:rsid w:val="00291CB3"/>
    <w:rsid w:val="00291EF4"/>
    <w:rsid w:val="00293C1F"/>
    <w:rsid w:val="00293F5C"/>
    <w:rsid w:val="0029570F"/>
    <w:rsid w:val="00295BF9"/>
    <w:rsid w:val="00295CFA"/>
    <w:rsid w:val="00296231"/>
    <w:rsid w:val="00296386"/>
    <w:rsid w:val="00296624"/>
    <w:rsid w:val="00296B6F"/>
    <w:rsid w:val="00297268"/>
    <w:rsid w:val="002975A0"/>
    <w:rsid w:val="002976ED"/>
    <w:rsid w:val="0029787F"/>
    <w:rsid w:val="00297DB1"/>
    <w:rsid w:val="002A010B"/>
    <w:rsid w:val="002A0BFF"/>
    <w:rsid w:val="002A0CE4"/>
    <w:rsid w:val="002A0D61"/>
    <w:rsid w:val="002A153B"/>
    <w:rsid w:val="002A161A"/>
    <w:rsid w:val="002A19E6"/>
    <w:rsid w:val="002A2019"/>
    <w:rsid w:val="002A23C9"/>
    <w:rsid w:val="002A25E0"/>
    <w:rsid w:val="002A2816"/>
    <w:rsid w:val="002A2827"/>
    <w:rsid w:val="002A379B"/>
    <w:rsid w:val="002A419C"/>
    <w:rsid w:val="002A44E6"/>
    <w:rsid w:val="002A4C4D"/>
    <w:rsid w:val="002A4D0C"/>
    <w:rsid w:val="002A590D"/>
    <w:rsid w:val="002A5C64"/>
    <w:rsid w:val="002A5CAF"/>
    <w:rsid w:val="002A5F1C"/>
    <w:rsid w:val="002A61AC"/>
    <w:rsid w:val="002A6ACF"/>
    <w:rsid w:val="002A6CCE"/>
    <w:rsid w:val="002A73AD"/>
    <w:rsid w:val="002A764B"/>
    <w:rsid w:val="002A79D3"/>
    <w:rsid w:val="002B01D5"/>
    <w:rsid w:val="002B0E18"/>
    <w:rsid w:val="002B0E6F"/>
    <w:rsid w:val="002B0F12"/>
    <w:rsid w:val="002B12FA"/>
    <w:rsid w:val="002B1C06"/>
    <w:rsid w:val="002B2B8F"/>
    <w:rsid w:val="002B33B4"/>
    <w:rsid w:val="002B3852"/>
    <w:rsid w:val="002B3C3D"/>
    <w:rsid w:val="002B3CCA"/>
    <w:rsid w:val="002B490C"/>
    <w:rsid w:val="002B49FB"/>
    <w:rsid w:val="002B4D7B"/>
    <w:rsid w:val="002B564C"/>
    <w:rsid w:val="002B654E"/>
    <w:rsid w:val="002B670E"/>
    <w:rsid w:val="002B69E2"/>
    <w:rsid w:val="002B6AC3"/>
    <w:rsid w:val="002B781F"/>
    <w:rsid w:val="002C10A4"/>
    <w:rsid w:val="002C1434"/>
    <w:rsid w:val="002C1688"/>
    <w:rsid w:val="002C1CF9"/>
    <w:rsid w:val="002C2926"/>
    <w:rsid w:val="002C2CAA"/>
    <w:rsid w:val="002C46B1"/>
    <w:rsid w:val="002C4D06"/>
    <w:rsid w:val="002C55CA"/>
    <w:rsid w:val="002C62F9"/>
    <w:rsid w:val="002C64DC"/>
    <w:rsid w:val="002C6521"/>
    <w:rsid w:val="002C6694"/>
    <w:rsid w:val="002C72F8"/>
    <w:rsid w:val="002C7465"/>
    <w:rsid w:val="002C75BD"/>
    <w:rsid w:val="002D0335"/>
    <w:rsid w:val="002D051A"/>
    <w:rsid w:val="002D094C"/>
    <w:rsid w:val="002D0EDA"/>
    <w:rsid w:val="002D1440"/>
    <w:rsid w:val="002D17D8"/>
    <w:rsid w:val="002D1837"/>
    <w:rsid w:val="002D1C76"/>
    <w:rsid w:val="002D2EF4"/>
    <w:rsid w:val="002D30AB"/>
    <w:rsid w:val="002D4A47"/>
    <w:rsid w:val="002D4BE0"/>
    <w:rsid w:val="002D55C2"/>
    <w:rsid w:val="002D585C"/>
    <w:rsid w:val="002D6144"/>
    <w:rsid w:val="002D695B"/>
    <w:rsid w:val="002D78DB"/>
    <w:rsid w:val="002D7A25"/>
    <w:rsid w:val="002E005B"/>
    <w:rsid w:val="002E0386"/>
    <w:rsid w:val="002E1104"/>
    <w:rsid w:val="002E1123"/>
    <w:rsid w:val="002E157F"/>
    <w:rsid w:val="002E2651"/>
    <w:rsid w:val="002E2A51"/>
    <w:rsid w:val="002E2C1D"/>
    <w:rsid w:val="002E3265"/>
    <w:rsid w:val="002E3663"/>
    <w:rsid w:val="002E3798"/>
    <w:rsid w:val="002E3A2C"/>
    <w:rsid w:val="002E3B8B"/>
    <w:rsid w:val="002E54F8"/>
    <w:rsid w:val="002E5C93"/>
    <w:rsid w:val="002E5E1B"/>
    <w:rsid w:val="002E5E61"/>
    <w:rsid w:val="002E618B"/>
    <w:rsid w:val="002E6364"/>
    <w:rsid w:val="002E6995"/>
    <w:rsid w:val="002E71D8"/>
    <w:rsid w:val="002E799D"/>
    <w:rsid w:val="002F085B"/>
    <w:rsid w:val="002F08E3"/>
    <w:rsid w:val="002F0D8C"/>
    <w:rsid w:val="002F2723"/>
    <w:rsid w:val="002F2BE8"/>
    <w:rsid w:val="002F314A"/>
    <w:rsid w:val="002F3D76"/>
    <w:rsid w:val="002F3FC6"/>
    <w:rsid w:val="002F410A"/>
    <w:rsid w:val="002F462C"/>
    <w:rsid w:val="002F4654"/>
    <w:rsid w:val="002F565B"/>
    <w:rsid w:val="002F59FB"/>
    <w:rsid w:val="002F5C40"/>
    <w:rsid w:val="002F5F78"/>
    <w:rsid w:val="002F608D"/>
    <w:rsid w:val="002F7941"/>
    <w:rsid w:val="0030110C"/>
    <w:rsid w:val="0030153E"/>
    <w:rsid w:val="00301A45"/>
    <w:rsid w:val="0030299D"/>
    <w:rsid w:val="00302C5E"/>
    <w:rsid w:val="00303E64"/>
    <w:rsid w:val="0030410A"/>
    <w:rsid w:val="0030450E"/>
    <w:rsid w:val="0030451E"/>
    <w:rsid w:val="00304E3F"/>
    <w:rsid w:val="003050EB"/>
    <w:rsid w:val="00305B1A"/>
    <w:rsid w:val="00305CD6"/>
    <w:rsid w:val="003062D4"/>
    <w:rsid w:val="003078F6"/>
    <w:rsid w:val="00310134"/>
    <w:rsid w:val="00310183"/>
    <w:rsid w:val="0031025F"/>
    <w:rsid w:val="0031042A"/>
    <w:rsid w:val="003115D9"/>
    <w:rsid w:val="0031196A"/>
    <w:rsid w:val="00312BF5"/>
    <w:rsid w:val="0031306F"/>
    <w:rsid w:val="003137F7"/>
    <w:rsid w:val="00313DEF"/>
    <w:rsid w:val="0031400D"/>
    <w:rsid w:val="003141B2"/>
    <w:rsid w:val="003141CE"/>
    <w:rsid w:val="0031472F"/>
    <w:rsid w:val="0031486F"/>
    <w:rsid w:val="0031635A"/>
    <w:rsid w:val="00320B90"/>
    <w:rsid w:val="00321463"/>
    <w:rsid w:val="00321EE1"/>
    <w:rsid w:val="00322020"/>
    <w:rsid w:val="0032230C"/>
    <w:rsid w:val="00322B9F"/>
    <w:rsid w:val="00322BD3"/>
    <w:rsid w:val="00323EAE"/>
    <w:rsid w:val="00325248"/>
    <w:rsid w:val="0032525C"/>
    <w:rsid w:val="00325727"/>
    <w:rsid w:val="00326948"/>
    <w:rsid w:val="00326B49"/>
    <w:rsid w:val="00327D22"/>
    <w:rsid w:val="00327E76"/>
    <w:rsid w:val="00330121"/>
    <w:rsid w:val="003303D7"/>
    <w:rsid w:val="003308B6"/>
    <w:rsid w:val="003309BF"/>
    <w:rsid w:val="00330C5F"/>
    <w:rsid w:val="0033163D"/>
    <w:rsid w:val="00332193"/>
    <w:rsid w:val="0033298D"/>
    <w:rsid w:val="0033315C"/>
    <w:rsid w:val="00334853"/>
    <w:rsid w:val="00334F5E"/>
    <w:rsid w:val="003359F0"/>
    <w:rsid w:val="00335DA7"/>
    <w:rsid w:val="003360C8"/>
    <w:rsid w:val="00336FD6"/>
    <w:rsid w:val="00336FE8"/>
    <w:rsid w:val="00337573"/>
    <w:rsid w:val="00337DE2"/>
    <w:rsid w:val="00337E98"/>
    <w:rsid w:val="0034027F"/>
    <w:rsid w:val="003409FE"/>
    <w:rsid w:val="0034124B"/>
    <w:rsid w:val="003412DC"/>
    <w:rsid w:val="0034135C"/>
    <w:rsid w:val="00341A12"/>
    <w:rsid w:val="00341CB6"/>
    <w:rsid w:val="00342E4F"/>
    <w:rsid w:val="003430DA"/>
    <w:rsid w:val="00343640"/>
    <w:rsid w:val="0034368E"/>
    <w:rsid w:val="00343E5A"/>
    <w:rsid w:val="00344295"/>
    <w:rsid w:val="003452D3"/>
    <w:rsid w:val="0034531D"/>
    <w:rsid w:val="003472E1"/>
    <w:rsid w:val="00347BD9"/>
    <w:rsid w:val="00347C1C"/>
    <w:rsid w:val="003515EC"/>
    <w:rsid w:val="0035164C"/>
    <w:rsid w:val="00351871"/>
    <w:rsid w:val="00351947"/>
    <w:rsid w:val="003520FD"/>
    <w:rsid w:val="00353599"/>
    <w:rsid w:val="003548D0"/>
    <w:rsid w:val="00354BB4"/>
    <w:rsid w:val="003579AA"/>
    <w:rsid w:val="003605C6"/>
    <w:rsid w:val="00360670"/>
    <w:rsid w:val="003607B1"/>
    <w:rsid w:val="00360C12"/>
    <w:rsid w:val="00361054"/>
    <w:rsid w:val="003612C2"/>
    <w:rsid w:val="00361ABE"/>
    <w:rsid w:val="003622D8"/>
    <w:rsid w:val="00362618"/>
    <w:rsid w:val="003633F0"/>
    <w:rsid w:val="00364163"/>
    <w:rsid w:val="003648A2"/>
    <w:rsid w:val="00364A9A"/>
    <w:rsid w:val="00365BAB"/>
    <w:rsid w:val="00366385"/>
    <w:rsid w:val="00366CB4"/>
    <w:rsid w:val="003672F3"/>
    <w:rsid w:val="0036779A"/>
    <w:rsid w:val="00367A67"/>
    <w:rsid w:val="0037083C"/>
    <w:rsid w:val="0037166B"/>
    <w:rsid w:val="00371763"/>
    <w:rsid w:val="00372AA4"/>
    <w:rsid w:val="003740EE"/>
    <w:rsid w:val="00374B0A"/>
    <w:rsid w:val="00374B89"/>
    <w:rsid w:val="0037506C"/>
    <w:rsid w:val="0037530E"/>
    <w:rsid w:val="00375597"/>
    <w:rsid w:val="0037583D"/>
    <w:rsid w:val="00375DF1"/>
    <w:rsid w:val="003762AA"/>
    <w:rsid w:val="003763D2"/>
    <w:rsid w:val="003769F5"/>
    <w:rsid w:val="00377253"/>
    <w:rsid w:val="00377BDF"/>
    <w:rsid w:val="00377CE2"/>
    <w:rsid w:val="00377E8C"/>
    <w:rsid w:val="00380EA5"/>
    <w:rsid w:val="00381634"/>
    <w:rsid w:val="00381E87"/>
    <w:rsid w:val="00382570"/>
    <w:rsid w:val="00382864"/>
    <w:rsid w:val="0038288F"/>
    <w:rsid w:val="003837B6"/>
    <w:rsid w:val="00385379"/>
    <w:rsid w:val="00386039"/>
    <w:rsid w:val="00386603"/>
    <w:rsid w:val="003869A0"/>
    <w:rsid w:val="00386BEC"/>
    <w:rsid w:val="00386D07"/>
    <w:rsid w:val="003874D2"/>
    <w:rsid w:val="00387CBA"/>
    <w:rsid w:val="00390B9B"/>
    <w:rsid w:val="00391B7C"/>
    <w:rsid w:val="00391BF4"/>
    <w:rsid w:val="003921B5"/>
    <w:rsid w:val="00392E91"/>
    <w:rsid w:val="00393208"/>
    <w:rsid w:val="00393951"/>
    <w:rsid w:val="003941D6"/>
    <w:rsid w:val="00394833"/>
    <w:rsid w:val="00396D1D"/>
    <w:rsid w:val="00396E4E"/>
    <w:rsid w:val="00396E6D"/>
    <w:rsid w:val="00396EF8"/>
    <w:rsid w:val="003971D9"/>
    <w:rsid w:val="00397F7A"/>
    <w:rsid w:val="003A0A7A"/>
    <w:rsid w:val="003A0FF7"/>
    <w:rsid w:val="003A1333"/>
    <w:rsid w:val="003A1D20"/>
    <w:rsid w:val="003A2265"/>
    <w:rsid w:val="003A23A7"/>
    <w:rsid w:val="003A240A"/>
    <w:rsid w:val="003A2588"/>
    <w:rsid w:val="003A2D23"/>
    <w:rsid w:val="003A2F2A"/>
    <w:rsid w:val="003A2FA6"/>
    <w:rsid w:val="003A3E88"/>
    <w:rsid w:val="003A3EDF"/>
    <w:rsid w:val="003A4301"/>
    <w:rsid w:val="003A45A3"/>
    <w:rsid w:val="003A4D99"/>
    <w:rsid w:val="003A4F94"/>
    <w:rsid w:val="003A5195"/>
    <w:rsid w:val="003A52CC"/>
    <w:rsid w:val="003A5AFF"/>
    <w:rsid w:val="003A5F45"/>
    <w:rsid w:val="003A6327"/>
    <w:rsid w:val="003A68DD"/>
    <w:rsid w:val="003A72BC"/>
    <w:rsid w:val="003A74B8"/>
    <w:rsid w:val="003A7A9C"/>
    <w:rsid w:val="003A7B92"/>
    <w:rsid w:val="003A7E62"/>
    <w:rsid w:val="003B019F"/>
    <w:rsid w:val="003B04DF"/>
    <w:rsid w:val="003B0719"/>
    <w:rsid w:val="003B09C5"/>
    <w:rsid w:val="003B0D94"/>
    <w:rsid w:val="003B1101"/>
    <w:rsid w:val="003B18D2"/>
    <w:rsid w:val="003B3DF0"/>
    <w:rsid w:val="003B414C"/>
    <w:rsid w:val="003B4B37"/>
    <w:rsid w:val="003B4B42"/>
    <w:rsid w:val="003B52FE"/>
    <w:rsid w:val="003B538D"/>
    <w:rsid w:val="003B56F5"/>
    <w:rsid w:val="003B59BA"/>
    <w:rsid w:val="003B6293"/>
    <w:rsid w:val="003B66B9"/>
    <w:rsid w:val="003B709B"/>
    <w:rsid w:val="003B72C9"/>
    <w:rsid w:val="003B7315"/>
    <w:rsid w:val="003B7D6F"/>
    <w:rsid w:val="003B7E5D"/>
    <w:rsid w:val="003C0650"/>
    <w:rsid w:val="003C087B"/>
    <w:rsid w:val="003C0B1D"/>
    <w:rsid w:val="003C0C7C"/>
    <w:rsid w:val="003C0D9D"/>
    <w:rsid w:val="003C0F16"/>
    <w:rsid w:val="003C0F50"/>
    <w:rsid w:val="003C1308"/>
    <w:rsid w:val="003C29D4"/>
    <w:rsid w:val="003C2CC8"/>
    <w:rsid w:val="003C2F7A"/>
    <w:rsid w:val="003C3336"/>
    <w:rsid w:val="003C3853"/>
    <w:rsid w:val="003C3FF0"/>
    <w:rsid w:val="003C454B"/>
    <w:rsid w:val="003C5640"/>
    <w:rsid w:val="003C56FC"/>
    <w:rsid w:val="003C613E"/>
    <w:rsid w:val="003C6645"/>
    <w:rsid w:val="003C6684"/>
    <w:rsid w:val="003C686E"/>
    <w:rsid w:val="003C6DEA"/>
    <w:rsid w:val="003C714F"/>
    <w:rsid w:val="003C72C7"/>
    <w:rsid w:val="003C7D4D"/>
    <w:rsid w:val="003D03B0"/>
    <w:rsid w:val="003D042B"/>
    <w:rsid w:val="003D0F6A"/>
    <w:rsid w:val="003D19F8"/>
    <w:rsid w:val="003D27BE"/>
    <w:rsid w:val="003D27C1"/>
    <w:rsid w:val="003D291E"/>
    <w:rsid w:val="003D2CF6"/>
    <w:rsid w:val="003D3C53"/>
    <w:rsid w:val="003D451F"/>
    <w:rsid w:val="003D4BEA"/>
    <w:rsid w:val="003D4D95"/>
    <w:rsid w:val="003D54FF"/>
    <w:rsid w:val="003D567E"/>
    <w:rsid w:val="003D5766"/>
    <w:rsid w:val="003D65E6"/>
    <w:rsid w:val="003D65F6"/>
    <w:rsid w:val="003D7901"/>
    <w:rsid w:val="003E0108"/>
    <w:rsid w:val="003E0325"/>
    <w:rsid w:val="003E03B8"/>
    <w:rsid w:val="003E12EA"/>
    <w:rsid w:val="003E15F0"/>
    <w:rsid w:val="003E195E"/>
    <w:rsid w:val="003E29DA"/>
    <w:rsid w:val="003E5075"/>
    <w:rsid w:val="003E5696"/>
    <w:rsid w:val="003E59E0"/>
    <w:rsid w:val="003E62AC"/>
    <w:rsid w:val="003E66F0"/>
    <w:rsid w:val="003E6715"/>
    <w:rsid w:val="003E6DC0"/>
    <w:rsid w:val="003E7924"/>
    <w:rsid w:val="003E7C27"/>
    <w:rsid w:val="003E7E4A"/>
    <w:rsid w:val="003F0128"/>
    <w:rsid w:val="003F1FBF"/>
    <w:rsid w:val="003F3C41"/>
    <w:rsid w:val="003F3E17"/>
    <w:rsid w:val="003F3EA9"/>
    <w:rsid w:val="003F4169"/>
    <w:rsid w:val="003F461C"/>
    <w:rsid w:val="003F4B38"/>
    <w:rsid w:val="003F5700"/>
    <w:rsid w:val="003F5AD7"/>
    <w:rsid w:val="003F6DC9"/>
    <w:rsid w:val="003F703F"/>
    <w:rsid w:val="003F75B2"/>
    <w:rsid w:val="003F7D5F"/>
    <w:rsid w:val="003F7E78"/>
    <w:rsid w:val="004000F3"/>
    <w:rsid w:val="00400698"/>
    <w:rsid w:val="00400824"/>
    <w:rsid w:val="00400998"/>
    <w:rsid w:val="0040180E"/>
    <w:rsid w:val="00401A53"/>
    <w:rsid w:val="0040233C"/>
    <w:rsid w:val="00403960"/>
    <w:rsid w:val="004046E3"/>
    <w:rsid w:val="00404756"/>
    <w:rsid w:val="00404B1E"/>
    <w:rsid w:val="0040529C"/>
    <w:rsid w:val="0040549F"/>
    <w:rsid w:val="00405870"/>
    <w:rsid w:val="00405BB4"/>
    <w:rsid w:val="00405BB7"/>
    <w:rsid w:val="00405F02"/>
    <w:rsid w:val="00406504"/>
    <w:rsid w:val="00406902"/>
    <w:rsid w:val="00406C1F"/>
    <w:rsid w:val="0040725F"/>
    <w:rsid w:val="004075DC"/>
    <w:rsid w:val="00407C83"/>
    <w:rsid w:val="004100DD"/>
    <w:rsid w:val="004109CB"/>
    <w:rsid w:val="00410BBA"/>
    <w:rsid w:val="00410CB8"/>
    <w:rsid w:val="0041178B"/>
    <w:rsid w:val="00411B0D"/>
    <w:rsid w:val="004124E0"/>
    <w:rsid w:val="00412843"/>
    <w:rsid w:val="0041349F"/>
    <w:rsid w:val="00413F89"/>
    <w:rsid w:val="00414AF8"/>
    <w:rsid w:val="00415883"/>
    <w:rsid w:val="00415A4F"/>
    <w:rsid w:val="004161C4"/>
    <w:rsid w:val="004162CC"/>
    <w:rsid w:val="004167EF"/>
    <w:rsid w:val="00416802"/>
    <w:rsid w:val="00416847"/>
    <w:rsid w:val="00416F0A"/>
    <w:rsid w:val="00417672"/>
    <w:rsid w:val="00417F4B"/>
    <w:rsid w:val="004204DE"/>
    <w:rsid w:val="004211A8"/>
    <w:rsid w:val="00422481"/>
    <w:rsid w:val="004225D3"/>
    <w:rsid w:val="0042406D"/>
    <w:rsid w:val="004251D9"/>
    <w:rsid w:val="00425463"/>
    <w:rsid w:val="0042602B"/>
    <w:rsid w:val="00426F54"/>
    <w:rsid w:val="00426F8D"/>
    <w:rsid w:val="0042787C"/>
    <w:rsid w:val="00427FAC"/>
    <w:rsid w:val="0043050D"/>
    <w:rsid w:val="0043089E"/>
    <w:rsid w:val="0043185A"/>
    <w:rsid w:val="00431BC1"/>
    <w:rsid w:val="00431D97"/>
    <w:rsid w:val="00431E90"/>
    <w:rsid w:val="00432A36"/>
    <w:rsid w:val="00432BB8"/>
    <w:rsid w:val="00433DF9"/>
    <w:rsid w:val="00434170"/>
    <w:rsid w:val="004341DF"/>
    <w:rsid w:val="004342AD"/>
    <w:rsid w:val="0043441E"/>
    <w:rsid w:val="00434511"/>
    <w:rsid w:val="004348FC"/>
    <w:rsid w:val="00434A01"/>
    <w:rsid w:val="00434D0C"/>
    <w:rsid w:val="004355C4"/>
    <w:rsid w:val="004365DB"/>
    <w:rsid w:val="004366BA"/>
    <w:rsid w:val="004367EB"/>
    <w:rsid w:val="00436A54"/>
    <w:rsid w:val="00436C25"/>
    <w:rsid w:val="00440131"/>
    <w:rsid w:val="00440CB2"/>
    <w:rsid w:val="0044100E"/>
    <w:rsid w:val="004411DC"/>
    <w:rsid w:val="004412CD"/>
    <w:rsid w:val="00442F52"/>
    <w:rsid w:val="0044386D"/>
    <w:rsid w:val="00443EF5"/>
    <w:rsid w:val="00443F12"/>
    <w:rsid w:val="00444933"/>
    <w:rsid w:val="00444BBE"/>
    <w:rsid w:val="00444F01"/>
    <w:rsid w:val="00444FE3"/>
    <w:rsid w:val="00445B37"/>
    <w:rsid w:val="004461D6"/>
    <w:rsid w:val="00447399"/>
    <w:rsid w:val="00447A21"/>
    <w:rsid w:val="00447C37"/>
    <w:rsid w:val="0045021A"/>
    <w:rsid w:val="00450D92"/>
    <w:rsid w:val="00450F3C"/>
    <w:rsid w:val="00451D87"/>
    <w:rsid w:val="0045239A"/>
    <w:rsid w:val="00452E01"/>
    <w:rsid w:val="00453146"/>
    <w:rsid w:val="004536EE"/>
    <w:rsid w:val="0045491F"/>
    <w:rsid w:val="0045519F"/>
    <w:rsid w:val="004559FD"/>
    <w:rsid w:val="00455C4F"/>
    <w:rsid w:val="00455EB5"/>
    <w:rsid w:val="0045628D"/>
    <w:rsid w:val="0045637F"/>
    <w:rsid w:val="0045691D"/>
    <w:rsid w:val="00457792"/>
    <w:rsid w:val="0046058B"/>
    <w:rsid w:val="00460E73"/>
    <w:rsid w:val="004625DB"/>
    <w:rsid w:val="00462915"/>
    <w:rsid w:val="0046371A"/>
    <w:rsid w:val="00464517"/>
    <w:rsid w:val="004646DA"/>
    <w:rsid w:val="00465071"/>
    <w:rsid w:val="004655E6"/>
    <w:rsid w:val="004656E3"/>
    <w:rsid w:val="00465E73"/>
    <w:rsid w:val="004664FC"/>
    <w:rsid w:val="004665BD"/>
    <w:rsid w:val="00467584"/>
    <w:rsid w:val="004701C0"/>
    <w:rsid w:val="00471143"/>
    <w:rsid w:val="004718ED"/>
    <w:rsid w:val="00471DA4"/>
    <w:rsid w:val="00472669"/>
    <w:rsid w:val="0047386E"/>
    <w:rsid w:val="00473C8A"/>
    <w:rsid w:val="00474FBC"/>
    <w:rsid w:val="004760C0"/>
    <w:rsid w:val="00476AF6"/>
    <w:rsid w:val="00476BF1"/>
    <w:rsid w:val="00477B54"/>
    <w:rsid w:val="00477C7B"/>
    <w:rsid w:val="00480C08"/>
    <w:rsid w:val="0048196C"/>
    <w:rsid w:val="004830DC"/>
    <w:rsid w:val="004830E8"/>
    <w:rsid w:val="00483140"/>
    <w:rsid w:val="004835C3"/>
    <w:rsid w:val="00483812"/>
    <w:rsid w:val="00483F9F"/>
    <w:rsid w:val="004846CB"/>
    <w:rsid w:val="00484933"/>
    <w:rsid w:val="004851F9"/>
    <w:rsid w:val="00485CA6"/>
    <w:rsid w:val="00486145"/>
    <w:rsid w:val="0048685E"/>
    <w:rsid w:val="00487357"/>
    <w:rsid w:val="004879C2"/>
    <w:rsid w:val="00490AC1"/>
    <w:rsid w:val="00490BF2"/>
    <w:rsid w:val="004911B2"/>
    <w:rsid w:val="004915E4"/>
    <w:rsid w:val="00491A46"/>
    <w:rsid w:val="00491AAE"/>
    <w:rsid w:val="00492905"/>
    <w:rsid w:val="00493680"/>
    <w:rsid w:val="00493782"/>
    <w:rsid w:val="00493C04"/>
    <w:rsid w:val="00493D6D"/>
    <w:rsid w:val="004945F6"/>
    <w:rsid w:val="00496ABF"/>
    <w:rsid w:val="00496DA8"/>
    <w:rsid w:val="0049736E"/>
    <w:rsid w:val="00497D65"/>
    <w:rsid w:val="004A006E"/>
    <w:rsid w:val="004A0218"/>
    <w:rsid w:val="004A077A"/>
    <w:rsid w:val="004A09CD"/>
    <w:rsid w:val="004A0EA5"/>
    <w:rsid w:val="004A13FA"/>
    <w:rsid w:val="004A14BA"/>
    <w:rsid w:val="004A1644"/>
    <w:rsid w:val="004A1CF9"/>
    <w:rsid w:val="004A2758"/>
    <w:rsid w:val="004A2A32"/>
    <w:rsid w:val="004A3555"/>
    <w:rsid w:val="004A36AD"/>
    <w:rsid w:val="004A38C6"/>
    <w:rsid w:val="004A39D4"/>
    <w:rsid w:val="004A40E5"/>
    <w:rsid w:val="004A52EB"/>
    <w:rsid w:val="004A53B6"/>
    <w:rsid w:val="004A6265"/>
    <w:rsid w:val="004A66AF"/>
    <w:rsid w:val="004A68C0"/>
    <w:rsid w:val="004A6997"/>
    <w:rsid w:val="004A69F3"/>
    <w:rsid w:val="004A6C14"/>
    <w:rsid w:val="004A76DD"/>
    <w:rsid w:val="004A7A23"/>
    <w:rsid w:val="004B01DB"/>
    <w:rsid w:val="004B0772"/>
    <w:rsid w:val="004B09D3"/>
    <w:rsid w:val="004B1311"/>
    <w:rsid w:val="004B1EB8"/>
    <w:rsid w:val="004B20C0"/>
    <w:rsid w:val="004B2542"/>
    <w:rsid w:val="004B3314"/>
    <w:rsid w:val="004B356E"/>
    <w:rsid w:val="004B3F65"/>
    <w:rsid w:val="004B42DD"/>
    <w:rsid w:val="004B496A"/>
    <w:rsid w:val="004B4C3F"/>
    <w:rsid w:val="004B508E"/>
    <w:rsid w:val="004B535C"/>
    <w:rsid w:val="004B5AE6"/>
    <w:rsid w:val="004B697E"/>
    <w:rsid w:val="004B71D0"/>
    <w:rsid w:val="004B7CA2"/>
    <w:rsid w:val="004B7CD6"/>
    <w:rsid w:val="004B7D9E"/>
    <w:rsid w:val="004B7E9E"/>
    <w:rsid w:val="004C01CD"/>
    <w:rsid w:val="004C050C"/>
    <w:rsid w:val="004C3140"/>
    <w:rsid w:val="004C37DD"/>
    <w:rsid w:val="004C3817"/>
    <w:rsid w:val="004C482B"/>
    <w:rsid w:val="004C4A0D"/>
    <w:rsid w:val="004C5038"/>
    <w:rsid w:val="004C65E3"/>
    <w:rsid w:val="004C6FFB"/>
    <w:rsid w:val="004C74B8"/>
    <w:rsid w:val="004C79CC"/>
    <w:rsid w:val="004C7A44"/>
    <w:rsid w:val="004C7C4B"/>
    <w:rsid w:val="004D0695"/>
    <w:rsid w:val="004D0E48"/>
    <w:rsid w:val="004D0F0F"/>
    <w:rsid w:val="004D19F0"/>
    <w:rsid w:val="004D2090"/>
    <w:rsid w:val="004D246F"/>
    <w:rsid w:val="004D283A"/>
    <w:rsid w:val="004D28A3"/>
    <w:rsid w:val="004D37BF"/>
    <w:rsid w:val="004D44E5"/>
    <w:rsid w:val="004D460C"/>
    <w:rsid w:val="004D4B76"/>
    <w:rsid w:val="004D5231"/>
    <w:rsid w:val="004D5B11"/>
    <w:rsid w:val="004D5D6A"/>
    <w:rsid w:val="004D61A3"/>
    <w:rsid w:val="004D661E"/>
    <w:rsid w:val="004D7A2A"/>
    <w:rsid w:val="004D7CA2"/>
    <w:rsid w:val="004E039F"/>
    <w:rsid w:val="004E03ED"/>
    <w:rsid w:val="004E0E26"/>
    <w:rsid w:val="004E1744"/>
    <w:rsid w:val="004E1CA0"/>
    <w:rsid w:val="004E2629"/>
    <w:rsid w:val="004E333F"/>
    <w:rsid w:val="004E33B7"/>
    <w:rsid w:val="004E3AB4"/>
    <w:rsid w:val="004E3B40"/>
    <w:rsid w:val="004E4F18"/>
    <w:rsid w:val="004E5213"/>
    <w:rsid w:val="004E56A6"/>
    <w:rsid w:val="004E59CC"/>
    <w:rsid w:val="004E63CE"/>
    <w:rsid w:val="004E6FE8"/>
    <w:rsid w:val="004E7D5A"/>
    <w:rsid w:val="004F0226"/>
    <w:rsid w:val="004F0E7E"/>
    <w:rsid w:val="004F108B"/>
    <w:rsid w:val="004F11DC"/>
    <w:rsid w:val="004F1E18"/>
    <w:rsid w:val="004F222B"/>
    <w:rsid w:val="004F257C"/>
    <w:rsid w:val="004F2C7B"/>
    <w:rsid w:val="004F3EAD"/>
    <w:rsid w:val="004F3F13"/>
    <w:rsid w:val="004F4818"/>
    <w:rsid w:val="004F4DC9"/>
    <w:rsid w:val="004F4E23"/>
    <w:rsid w:val="004F517E"/>
    <w:rsid w:val="004F54F0"/>
    <w:rsid w:val="004F56A2"/>
    <w:rsid w:val="004F5BEF"/>
    <w:rsid w:val="004F61FC"/>
    <w:rsid w:val="004F67D7"/>
    <w:rsid w:val="004F7039"/>
    <w:rsid w:val="004F74CF"/>
    <w:rsid w:val="004F7E61"/>
    <w:rsid w:val="005016A7"/>
    <w:rsid w:val="0050235B"/>
    <w:rsid w:val="00502676"/>
    <w:rsid w:val="00502785"/>
    <w:rsid w:val="0050352F"/>
    <w:rsid w:val="00503D4C"/>
    <w:rsid w:val="00503EAF"/>
    <w:rsid w:val="005054D6"/>
    <w:rsid w:val="005058A9"/>
    <w:rsid w:val="00505B58"/>
    <w:rsid w:val="00506058"/>
    <w:rsid w:val="005068D3"/>
    <w:rsid w:val="005077FE"/>
    <w:rsid w:val="0051007C"/>
    <w:rsid w:val="005106EF"/>
    <w:rsid w:val="00510E59"/>
    <w:rsid w:val="0051163A"/>
    <w:rsid w:val="00511F87"/>
    <w:rsid w:val="00512114"/>
    <w:rsid w:val="0051225F"/>
    <w:rsid w:val="00512283"/>
    <w:rsid w:val="00512573"/>
    <w:rsid w:val="00513A15"/>
    <w:rsid w:val="00513A43"/>
    <w:rsid w:val="00513AA1"/>
    <w:rsid w:val="00513CBA"/>
    <w:rsid w:val="00514E37"/>
    <w:rsid w:val="005159A2"/>
    <w:rsid w:val="00515E22"/>
    <w:rsid w:val="00516135"/>
    <w:rsid w:val="0051621E"/>
    <w:rsid w:val="00516289"/>
    <w:rsid w:val="00516683"/>
    <w:rsid w:val="0051743E"/>
    <w:rsid w:val="00517B0F"/>
    <w:rsid w:val="00520304"/>
    <w:rsid w:val="00520793"/>
    <w:rsid w:val="00520B42"/>
    <w:rsid w:val="005215CC"/>
    <w:rsid w:val="0052295C"/>
    <w:rsid w:val="005229A7"/>
    <w:rsid w:val="00522B99"/>
    <w:rsid w:val="00523390"/>
    <w:rsid w:val="00523633"/>
    <w:rsid w:val="005246E7"/>
    <w:rsid w:val="00524A66"/>
    <w:rsid w:val="00524D03"/>
    <w:rsid w:val="00525D19"/>
    <w:rsid w:val="00527C18"/>
    <w:rsid w:val="00527F20"/>
    <w:rsid w:val="005302D3"/>
    <w:rsid w:val="00530D35"/>
    <w:rsid w:val="00530D3F"/>
    <w:rsid w:val="00531434"/>
    <w:rsid w:val="00531C58"/>
    <w:rsid w:val="00531EE3"/>
    <w:rsid w:val="00532030"/>
    <w:rsid w:val="005351D3"/>
    <w:rsid w:val="0053526B"/>
    <w:rsid w:val="00536290"/>
    <w:rsid w:val="00536307"/>
    <w:rsid w:val="0053693C"/>
    <w:rsid w:val="00536961"/>
    <w:rsid w:val="00536D0E"/>
    <w:rsid w:val="0053793D"/>
    <w:rsid w:val="00537DCA"/>
    <w:rsid w:val="005409D5"/>
    <w:rsid w:val="005415E8"/>
    <w:rsid w:val="0054179B"/>
    <w:rsid w:val="00542652"/>
    <w:rsid w:val="005428C8"/>
    <w:rsid w:val="00542F79"/>
    <w:rsid w:val="00543241"/>
    <w:rsid w:val="005432B2"/>
    <w:rsid w:val="005433B7"/>
    <w:rsid w:val="00543476"/>
    <w:rsid w:val="00543604"/>
    <w:rsid w:val="005440FD"/>
    <w:rsid w:val="00544534"/>
    <w:rsid w:val="0054458B"/>
    <w:rsid w:val="00544752"/>
    <w:rsid w:val="0054581B"/>
    <w:rsid w:val="00545AE0"/>
    <w:rsid w:val="0054621B"/>
    <w:rsid w:val="00546E2B"/>
    <w:rsid w:val="00546F3E"/>
    <w:rsid w:val="005470B1"/>
    <w:rsid w:val="00547C16"/>
    <w:rsid w:val="00547EC5"/>
    <w:rsid w:val="00550256"/>
    <w:rsid w:val="00550917"/>
    <w:rsid w:val="005509E2"/>
    <w:rsid w:val="00550CBD"/>
    <w:rsid w:val="00550DD3"/>
    <w:rsid w:val="00551433"/>
    <w:rsid w:val="00551741"/>
    <w:rsid w:val="00552364"/>
    <w:rsid w:val="005529DA"/>
    <w:rsid w:val="00552DE1"/>
    <w:rsid w:val="005530D3"/>
    <w:rsid w:val="00553250"/>
    <w:rsid w:val="005532F3"/>
    <w:rsid w:val="005544B9"/>
    <w:rsid w:val="0055578F"/>
    <w:rsid w:val="005558B9"/>
    <w:rsid w:val="00555CE3"/>
    <w:rsid w:val="00556300"/>
    <w:rsid w:val="00556580"/>
    <w:rsid w:val="00556E0F"/>
    <w:rsid w:val="005577C2"/>
    <w:rsid w:val="00557D00"/>
    <w:rsid w:val="00560DA9"/>
    <w:rsid w:val="00561B7F"/>
    <w:rsid w:val="0056294E"/>
    <w:rsid w:val="0056384E"/>
    <w:rsid w:val="00563A36"/>
    <w:rsid w:val="00563E8E"/>
    <w:rsid w:val="00563F3C"/>
    <w:rsid w:val="005643B6"/>
    <w:rsid w:val="0056448C"/>
    <w:rsid w:val="00564565"/>
    <w:rsid w:val="00564720"/>
    <w:rsid w:val="00564F98"/>
    <w:rsid w:val="0056583F"/>
    <w:rsid w:val="00565C4B"/>
    <w:rsid w:val="00565DF8"/>
    <w:rsid w:val="00565E36"/>
    <w:rsid w:val="00566682"/>
    <w:rsid w:val="00567868"/>
    <w:rsid w:val="0057002E"/>
    <w:rsid w:val="00571120"/>
    <w:rsid w:val="005718F4"/>
    <w:rsid w:val="00571B20"/>
    <w:rsid w:val="00571C8F"/>
    <w:rsid w:val="00572024"/>
    <w:rsid w:val="005731CE"/>
    <w:rsid w:val="00573378"/>
    <w:rsid w:val="00573B0E"/>
    <w:rsid w:val="0057439C"/>
    <w:rsid w:val="00574CD9"/>
    <w:rsid w:val="00575357"/>
    <w:rsid w:val="00576870"/>
    <w:rsid w:val="005770F3"/>
    <w:rsid w:val="005804E7"/>
    <w:rsid w:val="00580845"/>
    <w:rsid w:val="00580987"/>
    <w:rsid w:val="00582285"/>
    <w:rsid w:val="00582531"/>
    <w:rsid w:val="00582564"/>
    <w:rsid w:val="00582C14"/>
    <w:rsid w:val="005833A1"/>
    <w:rsid w:val="005834A3"/>
    <w:rsid w:val="005837E7"/>
    <w:rsid w:val="00584177"/>
    <w:rsid w:val="005844A3"/>
    <w:rsid w:val="0058470B"/>
    <w:rsid w:val="00585051"/>
    <w:rsid w:val="00585D9C"/>
    <w:rsid w:val="00585F62"/>
    <w:rsid w:val="00586104"/>
    <w:rsid w:val="00586218"/>
    <w:rsid w:val="00586734"/>
    <w:rsid w:val="005875C5"/>
    <w:rsid w:val="00587604"/>
    <w:rsid w:val="00587B68"/>
    <w:rsid w:val="00587E3D"/>
    <w:rsid w:val="00590397"/>
    <w:rsid w:val="00590A0E"/>
    <w:rsid w:val="005911E0"/>
    <w:rsid w:val="005920F4"/>
    <w:rsid w:val="0059245A"/>
    <w:rsid w:val="0059256B"/>
    <w:rsid w:val="00592701"/>
    <w:rsid w:val="00592C3C"/>
    <w:rsid w:val="00596265"/>
    <w:rsid w:val="005963D8"/>
    <w:rsid w:val="0059666E"/>
    <w:rsid w:val="00596DBA"/>
    <w:rsid w:val="005971F3"/>
    <w:rsid w:val="005A03F1"/>
    <w:rsid w:val="005A0461"/>
    <w:rsid w:val="005A0544"/>
    <w:rsid w:val="005A19DC"/>
    <w:rsid w:val="005A30F9"/>
    <w:rsid w:val="005A3BDE"/>
    <w:rsid w:val="005A4906"/>
    <w:rsid w:val="005A4D20"/>
    <w:rsid w:val="005A5772"/>
    <w:rsid w:val="005A59EE"/>
    <w:rsid w:val="005A5CAF"/>
    <w:rsid w:val="005A60A7"/>
    <w:rsid w:val="005A6A71"/>
    <w:rsid w:val="005A6C32"/>
    <w:rsid w:val="005A7680"/>
    <w:rsid w:val="005A76A9"/>
    <w:rsid w:val="005A76FB"/>
    <w:rsid w:val="005A7798"/>
    <w:rsid w:val="005A7E0B"/>
    <w:rsid w:val="005B0E4A"/>
    <w:rsid w:val="005B0F3F"/>
    <w:rsid w:val="005B13B2"/>
    <w:rsid w:val="005B13FD"/>
    <w:rsid w:val="005B14B9"/>
    <w:rsid w:val="005B1615"/>
    <w:rsid w:val="005B16B4"/>
    <w:rsid w:val="005B26CF"/>
    <w:rsid w:val="005B2E78"/>
    <w:rsid w:val="005B3974"/>
    <w:rsid w:val="005B43CF"/>
    <w:rsid w:val="005B5112"/>
    <w:rsid w:val="005B5310"/>
    <w:rsid w:val="005B5AA3"/>
    <w:rsid w:val="005B658E"/>
    <w:rsid w:val="005B6F1E"/>
    <w:rsid w:val="005B7133"/>
    <w:rsid w:val="005B756E"/>
    <w:rsid w:val="005B7655"/>
    <w:rsid w:val="005B7E2C"/>
    <w:rsid w:val="005C0300"/>
    <w:rsid w:val="005C1DA3"/>
    <w:rsid w:val="005C223F"/>
    <w:rsid w:val="005C2F16"/>
    <w:rsid w:val="005C33B1"/>
    <w:rsid w:val="005C35C2"/>
    <w:rsid w:val="005C48AD"/>
    <w:rsid w:val="005C4BB3"/>
    <w:rsid w:val="005C4BBB"/>
    <w:rsid w:val="005C528A"/>
    <w:rsid w:val="005C52D8"/>
    <w:rsid w:val="005C6120"/>
    <w:rsid w:val="005C6331"/>
    <w:rsid w:val="005C6672"/>
    <w:rsid w:val="005C66DB"/>
    <w:rsid w:val="005C6F6D"/>
    <w:rsid w:val="005D00B6"/>
    <w:rsid w:val="005D019D"/>
    <w:rsid w:val="005D0320"/>
    <w:rsid w:val="005D1654"/>
    <w:rsid w:val="005D1860"/>
    <w:rsid w:val="005D1A1B"/>
    <w:rsid w:val="005D244B"/>
    <w:rsid w:val="005D2476"/>
    <w:rsid w:val="005D2CB4"/>
    <w:rsid w:val="005D365A"/>
    <w:rsid w:val="005D400A"/>
    <w:rsid w:val="005D4AC9"/>
    <w:rsid w:val="005D4E7E"/>
    <w:rsid w:val="005D4EF7"/>
    <w:rsid w:val="005D5446"/>
    <w:rsid w:val="005D550C"/>
    <w:rsid w:val="005D5713"/>
    <w:rsid w:val="005D5732"/>
    <w:rsid w:val="005D58A9"/>
    <w:rsid w:val="005D5C21"/>
    <w:rsid w:val="005D6089"/>
    <w:rsid w:val="005D6550"/>
    <w:rsid w:val="005D7462"/>
    <w:rsid w:val="005D79DC"/>
    <w:rsid w:val="005D7A28"/>
    <w:rsid w:val="005E0288"/>
    <w:rsid w:val="005E0855"/>
    <w:rsid w:val="005E13F7"/>
    <w:rsid w:val="005E15C3"/>
    <w:rsid w:val="005E2E82"/>
    <w:rsid w:val="005E32BB"/>
    <w:rsid w:val="005E3D89"/>
    <w:rsid w:val="005E42D5"/>
    <w:rsid w:val="005E464C"/>
    <w:rsid w:val="005E4F6A"/>
    <w:rsid w:val="005E570D"/>
    <w:rsid w:val="005E5C13"/>
    <w:rsid w:val="005E67F1"/>
    <w:rsid w:val="005E704C"/>
    <w:rsid w:val="005E77D1"/>
    <w:rsid w:val="005E7AE3"/>
    <w:rsid w:val="005F0844"/>
    <w:rsid w:val="005F0C0E"/>
    <w:rsid w:val="005F1950"/>
    <w:rsid w:val="005F1B5D"/>
    <w:rsid w:val="005F20D4"/>
    <w:rsid w:val="005F24B6"/>
    <w:rsid w:val="005F2BDC"/>
    <w:rsid w:val="005F2C84"/>
    <w:rsid w:val="005F2C95"/>
    <w:rsid w:val="005F318C"/>
    <w:rsid w:val="005F447E"/>
    <w:rsid w:val="005F4757"/>
    <w:rsid w:val="005F4D66"/>
    <w:rsid w:val="005F5263"/>
    <w:rsid w:val="005F570E"/>
    <w:rsid w:val="005F5A45"/>
    <w:rsid w:val="005F5D18"/>
    <w:rsid w:val="005F61B9"/>
    <w:rsid w:val="005F6B08"/>
    <w:rsid w:val="005F6F7B"/>
    <w:rsid w:val="005F739A"/>
    <w:rsid w:val="005F7A1D"/>
    <w:rsid w:val="005F7C15"/>
    <w:rsid w:val="00600A60"/>
    <w:rsid w:val="00601383"/>
    <w:rsid w:val="00601931"/>
    <w:rsid w:val="00601FE0"/>
    <w:rsid w:val="00602291"/>
    <w:rsid w:val="006037CB"/>
    <w:rsid w:val="006045EF"/>
    <w:rsid w:val="0060469B"/>
    <w:rsid w:val="00604E10"/>
    <w:rsid w:val="006051FE"/>
    <w:rsid w:val="006052F7"/>
    <w:rsid w:val="00605E28"/>
    <w:rsid w:val="00605FB4"/>
    <w:rsid w:val="00607134"/>
    <w:rsid w:val="0060740B"/>
    <w:rsid w:val="00610591"/>
    <w:rsid w:val="006105E4"/>
    <w:rsid w:val="00610AE4"/>
    <w:rsid w:val="00611854"/>
    <w:rsid w:val="00612CF5"/>
    <w:rsid w:val="00613072"/>
    <w:rsid w:val="00613315"/>
    <w:rsid w:val="006134D9"/>
    <w:rsid w:val="0061399F"/>
    <w:rsid w:val="00613B3C"/>
    <w:rsid w:val="00613D07"/>
    <w:rsid w:val="00613F48"/>
    <w:rsid w:val="006141BE"/>
    <w:rsid w:val="00614861"/>
    <w:rsid w:val="00615F1A"/>
    <w:rsid w:val="00616359"/>
    <w:rsid w:val="00616468"/>
    <w:rsid w:val="006169D0"/>
    <w:rsid w:val="00616C81"/>
    <w:rsid w:val="00616DD3"/>
    <w:rsid w:val="0061703C"/>
    <w:rsid w:val="006174FB"/>
    <w:rsid w:val="00620455"/>
    <w:rsid w:val="00622296"/>
    <w:rsid w:val="0062276F"/>
    <w:rsid w:val="006231AE"/>
    <w:rsid w:val="0062398C"/>
    <w:rsid w:val="0062402B"/>
    <w:rsid w:val="00624301"/>
    <w:rsid w:val="006246B3"/>
    <w:rsid w:val="00624F33"/>
    <w:rsid w:val="006250F7"/>
    <w:rsid w:val="00625614"/>
    <w:rsid w:val="00625CA7"/>
    <w:rsid w:val="00626396"/>
    <w:rsid w:val="006270D4"/>
    <w:rsid w:val="0063029A"/>
    <w:rsid w:val="006303A1"/>
    <w:rsid w:val="006309A2"/>
    <w:rsid w:val="00630BD3"/>
    <w:rsid w:val="00630D96"/>
    <w:rsid w:val="00631353"/>
    <w:rsid w:val="00632140"/>
    <w:rsid w:val="006327A4"/>
    <w:rsid w:val="006327F3"/>
    <w:rsid w:val="00632FD6"/>
    <w:rsid w:val="006333B7"/>
    <w:rsid w:val="00633D2B"/>
    <w:rsid w:val="00633F09"/>
    <w:rsid w:val="00633F77"/>
    <w:rsid w:val="0063531E"/>
    <w:rsid w:val="00635C86"/>
    <w:rsid w:val="00635D08"/>
    <w:rsid w:val="00635DF7"/>
    <w:rsid w:val="00636359"/>
    <w:rsid w:val="00636610"/>
    <w:rsid w:val="00636AC9"/>
    <w:rsid w:val="006372DF"/>
    <w:rsid w:val="00637309"/>
    <w:rsid w:val="00637BA9"/>
    <w:rsid w:val="006400D2"/>
    <w:rsid w:val="00640938"/>
    <w:rsid w:val="00640EBC"/>
    <w:rsid w:val="00641131"/>
    <w:rsid w:val="00641315"/>
    <w:rsid w:val="006413BC"/>
    <w:rsid w:val="00641DB1"/>
    <w:rsid w:val="0064224D"/>
    <w:rsid w:val="00642637"/>
    <w:rsid w:val="00642704"/>
    <w:rsid w:val="0064291B"/>
    <w:rsid w:val="00642D1E"/>
    <w:rsid w:val="00642DA6"/>
    <w:rsid w:val="00643879"/>
    <w:rsid w:val="0064403E"/>
    <w:rsid w:val="00644B67"/>
    <w:rsid w:val="00644D3C"/>
    <w:rsid w:val="00645202"/>
    <w:rsid w:val="00645308"/>
    <w:rsid w:val="006460F4"/>
    <w:rsid w:val="00646568"/>
    <w:rsid w:val="00646643"/>
    <w:rsid w:val="006469FC"/>
    <w:rsid w:val="006472DD"/>
    <w:rsid w:val="00647505"/>
    <w:rsid w:val="00647C8E"/>
    <w:rsid w:val="00650480"/>
    <w:rsid w:val="00650EF4"/>
    <w:rsid w:val="006518D7"/>
    <w:rsid w:val="00651C6E"/>
    <w:rsid w:val="006525FF"/>
    <w:rsid w:val="00652AD9"/>
    <w:rsid w:val="00653288"/>
    <w:rsid w:val="006533BB"/>
    <w:rsid w:val="0065389B"/>
    <w:rsid w:val="0065423D"/>
    <w:rsid w:val="006549C3"/>
    <w:rsid w:val="0065512F"/>
    <w:rsid w:val="006553C2"/>
    <w:rsid w:val="006563B1"/>
    <w:rsid w:val="00657FBF"/>
    <w:rsid w:val="006601C2"/>
    <w:rsid w:val="006607F2"/>
    <w:rsid w:val="00660ADB"/>
    <w:rsid w:val="00660C96"/>
    <w:rsid w:val="00660DBA"/>
    <w:rsid w:val="00660E7D"/>
    <w:rsid w:val="00661930"/>
    <w:rsid w:val="00661D25"/>
    <w:rsid w:val="00661F61"/>
    <w:rsid w:val="00663744"/>
    <w:rsid w:val="00663A24"/>
    <w:rsid w:val="0066411E"/>
    <w:rsid w:val="00664A46"/>
    <w:rsid w:val="00664A8F"/>
    <w:rsid w:val="00664DD4"/>
    <w:rsid w:val="006655B1"/>
    <w:rsid w:val="00666043"/>
    <w:rsid w:val="00666140"/>
    <w:rsid w:val="0066638A"/>
    <w:rsid w:val="0066647B"/>
    <w:rsid w:val="006664F6"/>
    <w:rsid w:val="00667CC1"/>
    <w:rsid w:val="006708D9"/>
    <w:rsid w:val="0067092E"/>
    <w:rsid w:val="00670C37"/>
    <w:rsid w:val="00670FD0"/>
    <w:rsid w:val="00670FEC"/>
    <w:rsid w:val="006710DC"/>
    <w:rsid w:val="0067119A"/>
    <w:rsid w:val="006714F1"/>
    <w:rsid w:val="00672E0D"/>
    <w:rsid w:val="00673477"/>
    <w:rsid w:val="00673EF4"/>
    <w:rsid w:val="0067441B"/>
    <w:rsid w:val="006744CB"/>
    <w:rsid w:val="00674C7D"/>
    <w:rsid w:val="0067579B"/>
    <w:rsid w:val="0067695A"/>
    <w:rsid w:val="00677560"/>
    <w:rsid w:val="00677866"/>
    <w:rsid w:val="00677C70"/>
    <w:rsid w:val="006801D1"/>
    <w:rsid w:val="00680298"/>
    <w:rsid w:val="006803C0"/>
    <w:rsid w:val="006812E1"/>
    <w:rsid w:val="0068348A"/>
    <w:rsid w:val="0068358B"/>
    <w:rsid w:val="00683723"/>
    <w:rsid w:val="00683D99"/>
    <w:rsid w:val="00683FF3"/>
    <w:rsid w:val="006840CD"/>
    <w:rsid w:val="00684591"/>
    <w:rsid w:val="00684EE1"/>
    <w:rsid w:val="00686709"/>
    <w:rsid w:val="006871BC"/>
    <w:rsid w:val="00687DD4"/>
    <w:rsid w:val="00690BEA"/>
    <w:rsid w:val="0069103E"/>
    <w:rsid w:val="00692B34"/>
    <w:rsid w:val="00692C56"/>
    <w:rsid w:val="00692DD4"/>
    <w:rsid w:val="00692E9B"/>
    <w:rsid w:val="006937A7"/>
    <w:rsid w:val="006939E6"/>
    <w:rsid w:val="00693E52"/>
    <w:rsid w:val="00693E62"/>
    <w:rsid w:val="006943A4"/>
    <w:rsid w:val="00694479"/>
    <w:rsid w:val="006949C7"/>
    <w:rsid w:val="00694DAB"/>
    <w:rsid w:val="00695136"/>
    <w:rsid w:val="00695322"/>
    <w:rsid w:val="00695620"/>
    <w:rsid w:val="006956FA"/>
    <w:rsid w:val="00695898"/>
    <w:rsid w:val="00695EC7"/>
    <w:rsid w:val="00695EFD"/>
    <w:rsid w:val="00695FE2"/>
    <w:rsid w:val="006967F9"/>
    <w:rsid w:val="00696890"/>
    <w:rsid w:val="00697236"/>
    <w:rsid w:val="006A14DE"/>
    <w:rsid w:val="006A17E6"/>
    <w:rsid w:val="006A1A24"/>
    <w:rsid w:val="006A1C92"/>
    <w:rsid w:val="006A2268"/>
    <w:rsid w:val="006A3E97"/>
    <w:rsid w:val="006A3F65"/>
    <w:rsid w:val="006A451F"/>
    <w:rsid w:val="006A4953"/>
    <w:rsid w:val="006A4C1E"/>
    <w:rsid w:val="006A61CB"/>
    <w:rsid w:val="006A66D3"/>
    <w:rsid w:val="006A6A6F"/>
    <w:rsid w:val="006A70A2"/>
    <w:rsid w:val="006A72EC"/>
    <w:rsid w:val="006A73EE"/>
    <w:rsid w:val="006A7439"/>
    <w:rsid w:val="006A7DF3"/>
    <w:rsid w:val="006B000B"/>
    <w:rsid w:val="006B00D4"/>
    <w:rsid w:val="006B0894"/>
    <w:rsid w:val="006B0A15"/>
    <w:rsid w:val="006B0EA1"/>
    <w:rsid w:val="006B109D"/>
    <w:rsid w:val="006B1762"/>
    <w:rsid w:val="006B1964"/>
    <w:rsid w:val="006B1BFB"/>
    <w:rsid w:val="006B1D55"/>
    <w:rsid w:val="006B201F"/>
    <w:rsid w:val="006B296F"/>
    <w:rsid w:val="006B2CE1"/>
    <w:rsid w:val="006B3558"/>
    <w:rsid w:val="006B386E"/>
    <w:rsid w:val="006B3A8E"/>
    <w:rsid w:val="006B49A7"/>
    <w:rsid w:val="006B5010"/>
    <w:rsid w:val="006B5784"/>
    <w:rsid w:val="006B5950"/>
    <w:rsid w:val="006B71C7"/>
    <w:rsid w:val="006B758D"/>
    <w:rsid w:val="006B7620"/>
    <w:rsid w:val="006C0541"/>
    <w:rsid w:val="006C057E"/>
    <w:rsid w:val="006C0D68"/>
    <w:rsid w:val="006C2A72"/>
    <w:rsid w:val="006C3EE1"/>
    <w:rsid w:val="006C415A"/>
    <w:rsid w:val="006C42E6"/>
    <w:rsid w:val="006C4810"/>
    <w:rsid w:val="006C493D"/>
    <w:rsid w:val="006C4A59"/>
    <w:rsid w:val="006C55C0"/>
    <w:rsid w:val="006C55FC"/>
    <w:rsid w:val="006C5BA1"/>
    <w:rsid w:val="006C5E17"/>
    <w:rsid w:val="006C67C6"/>
    <w:rsid w:val="006C703C"/>
    <w:rsid w:val="006C7B51"/>
    <w:rsid w:val="006C7F50"/>
    <w:rsid w:val="006C7F93"/>
    <w:rsid w:val="006D0146"/>
    <w:rsid w:val="006D02F5"/>
    <w:rsid w:val="006D0476"/>
    <w:rsid w:val="006D05F3"/>
    <w:rsid w:val="006D0D9C"/>
    <w:rsid w:val="006D1010"/>
    <w:rsid w:val="006D1326"/>
    <w:rsid w:val="006D14F7"/>
    <w:rsid w:val="006D1C91"/>
    <w:rsid w:val="006D228B"/>
    <w:rsid w:val="006D2505"/>
    <w:rsid w:val="006D25BF"/>
    <w:rsid w:val="006D268D"/>
    <w:rsid w:val="006D271B"/>
    <w:rsid w:val="006D27C5"/>
    <w:rsid w:val="006D299C"/>
    <w:rsid w:val="006D2D83"/>
    <w:rsid w:val="006D2E06"/>
    <w:rsid w:val="006D36B5"/>
    <w:rsid w:val="006D3C83"/>
    <w:rsid w:val="006D5524"/>
    <w:rsid w:val="006D566C"/>
    <w:rsid w:val="006D5858"/>
    <w:rsid w:val="006D69DB"/>
    <w:rsid w:val="006D778F"/>
    <w:rsid w:val="006D7DCF"/>
    <w:rsid w:val="006E016B"/>
    <w:rsid w:val="006E1322"/>
    <w:rsid w:val="006E133B"/>
    <w:rsid w:val="006E1B04"/>
    <w:rsid w:val="006E1D2D"/>
    <w:rsid w:val="006E1E53"/>
    <w:rsid w:val="006E2513"/>
    <w:rsid w:val="006E285E"/>
    <w:rsid w:val="006E2C0E"/>
    <w:rsid w:val="006E30CD"/>
    <w:rsid w:val="006E3B39"/>
    <w:rsid w:val="006E3BA2"/>
    <w:rsid w:val="006E4B38"/>
    <w:rsid w:val="006E5022"/>
    <w:rsid w:val="006E52A9"/>
    <w:rsid w:val="006E60FA"/>
    <w:rsid w:val="006E6BCA"/>
    <w:rsid w:val="006E6EC6"/>
    <w:rsid w:val="006E7B04"/>
    <w:rsid w:val="006F0466"/>
    <w:rsid w:val="006F04BA"/>
    <w:rsid w:val="006F12F3"/>
    <w:rsid w:val="006F1EE1"/>
    <w:rsid w:val="006F2503"/>
    <w:rsid w:val="006F2725"/>
    <w:rsid w:val="006F3213"/>
    <w:rsid w:val="006F420C"/>
    <w:rsid w:val="006F4379"/>
    <w:rsid w:val="006F6913"/>
    <w:rsid w:val="006F7061"/>
    <w:rsid w:val="006F7762"/>
    <w:rsid w:val="007003DB"/>
    <w:rsid w:val="0070113E"/>
    <w:rsid w:val="00701F13"/>
    <w:rsid w:val="007022C4"/>
    <w:rsid w:val="007023B3"/>
    <w:rsid w:val="00702AF8"/>
    <w:rsid w:val="00702C5C"/>
    <w:rsid w:val="00703339"/>
    <w:rsid w:val="00703763"/>
    <w:rsid w:val="007037CB"/>
    <w:rsid w:val="00703F45"/>
    <w:rsid w:val="00704024"/>
    <w:rsid w:val="00704027"/>
    <w:rsid w:val="00704B0E"/>
    <w:rsid w:val="00705A76"/>
    <w:rsid w:val="00705B19"/>
    <w:rsid w:val="00706154"/>
    <w:rsid w:val="007063EF"/>
    <w:rsid w:val="00706C76"/>
    <w:rsid w:val="00707110"/>
    <w:rsid w:val="00707BB7"/>
    <w:rsid w:val="00710ABE"/>
    <w:rsid w:val="0071131C"/>
    <w:rsid w:val="00711367"/>
    <w:rsid w:val="00711852"/>
    <w:rsid w:val="007124A9"/>
    <w:rsid w:val="00712727"/>
    <w:rsid w:val="00713B53"/>
    <w:rsid w:val="00713EB0"/>
    <w:rsid w:val="007144C0"/>
    <w:rsid w:val="00714623"/>
    <w:rsid w:val="007147D4"/>
    <w:rsid w:val="007148F1"/>
    <w:rsid w:val="00715040"/>
    <w:rsid w:val="00715352"/>
    <w:rsid w:val="00715902"/>
    <w:rsid w:val="00715AD8"/>
    <w:rsid w:val="00715BB8"/>
    <w:rsid w:val="00715F16"/>
    <w:rsid w:val="007161F1"/>
    <w:rsid w:val="00716CA5"/>
    <w:rsid w:val="00716E4B"/>
    <w:rsid w:val="00717A95"/>
    <w:rsid w:val="007203E7"/>
    <w:rsid w:val="00720B9A"/>
    <w:rsid w:val="00720E63"/>
    <w:rsid w:val="0072111C"/>
    <w:rsid w:val="007215B4"/>
    <w:rsid w:val="00721D4F"/>
    <w:rsid w:val="00722101"/>
    <w:rsid w:val="0072232C"/>
    <w:rsid w:val="007224BE"/>
    <w:rsid w:val="00723066"/>
    <w:rsid w:val="00723D7D"/>
    <w:rsid w:val="00723EFA"/>
    <w:rsid w:val="0072464C"/>
    <w:rsid w:val="00725164"/>
    <w:rsid w:val="00725243"/>
    <w:rsid w:val="00725B8B"/>
    <w:rsid w:val="0072623E"/>
    <w:rsid w:val="00726582"/>
    <w:rsid w:val="00726EDD"/>
    <w:rsid w:val="00727184"/>
    <w:rsid w:val="007277C6"/>
    <w:rsid w:val="00727BCB"/>
    <w:rsid w:val="00727DA2"/>
    <w:rsid w:val="00727EE2"/>
    <w:rsid w:val="00730523"/>
    <w:rsid w:val="00730813"/>
    <w:rsid w:val="00730834"/>
    <w:rsid w:val="007308B4"/>
    <w:rsid w:val="00730BF6"/>
    <w:rsid w:val="007311A6"/>
    <w:rsid w:val="007311B1"/>
    <w:rsid w:val="007313AA"/>
    <w:rsid w:val="00731BF0"/>
    <w:rsid w:val="007327F9"/>
    <w:rsid w:val="00732F2C"/>
    <w:rsid w:val="00733401"/>
    <w:rsid w:val="00733917"/>
    <w:rsid w:val="00734460"/>
    <w:rsid w:val="00734812"/>
    <w:rsid w:val="00734D4C"/>
    <w:rsid w:val="00735398"/>
    <w:rsid w:val="00735ADB"/>
    <w:rsid w:val="00735B3C"/>
    <w:rsid w:val="00735C23"/>
    <w:rsid w:val="00735C41"/>
    <w:rsid w:val="007361DE"/>
    <w:rsid w:val="0073643D"/>
    <w:rsid w:val="00736925"/>
    <w:rsid w:val="0073693B"/>
    <w:rsid w:val="00736E7E"/>
    <w:rsid w:val="00737044"/>
    <w:rsid w:val="00737068"/>
    <w:rsid w:val="00737948"/>
    <w:rsid w:val="00737AA1"/>
    <w:rsid w:val="007405D6"/>
    <w:rsid w:val="0074099D"/>
    <w:rsid w:val="00740D2D"/>
    <w:rsid w:val="007410A9"/>
    <w:rsid w:val="00741308"/>
    <w:rsid w:val="00741EAD"/>
    <w:rsid w:val="007420CF"/>
    <w:rsid w:val="00742B49"/>
    <w:rsid w:val="00742D43"/>
    <w:rsid w:val="00742E88"/>
    <w:rsid w:val="007431D6"/>
    <w:rsid w:val="00743235"/>
    <w:rsid w:val="00743FB4"/>
    <w:rsid w:val="00744676"/>
    <w:rsid w:val="007446C3"/>
    <w:rsid w:val="00745325"/>
    <w:rsid w:val="00745C17"/>
    <w:rsid w:val="0074607A"/>
    <w:rsid w:val="00746CAC"/>
    <w:rsid w:val="0074744C"/>
    <w:rsid w:val="00747BDB"/>
    <w:rsid w:val="00747E2D"/>
    <w:rsid w:val="007505FC"/>
    <w:rsid w:val="007518AA"/>
    <w:rsid w:val="00751A51"/>
    <w:rsid w:val="00751EA1"/>
    <w:rsid w:val="00752458"/>
    <w:rsid w:val="00752728"/>
    <w:rsid w:val="00752828"/>
    <w:rsid w:val="0075284F"/>
    <w:rsid w:val="0075288D"/>
    <w:rsid w:val="00752E80"/>
    <w:rsid w:val="0075344F"/>
    <w:rsid w:val="00753AE3"/>
    <w:rsid w:val="00753C8A"/>
    <w:rsid w:val="00753CC3"/>
    <w:rsid w:val="007543C9"/>
    <w:rsid w:val="00754556"/>
    <w:rsid w:val="00754712"/>
    <w:rsid w:val="00754813"/>
    <w:rsid w:val="00754FDF"/>
    <w:rsid w:val="00755227"/>
    <w:rsid w:val="00755A0A"/>
    <w:rsid w:val="007560C4"/>
    <w:rsid w:val="00756AA8"/>
    <w:rsid w:val="00757A75"/>
    <w:rsid w:val="00760008"/>
    <w:rsid w:val="00760B48"/>
    <w:rsid w:val="007619B6"/>
    <w:rsid w:val="00761B27"/>
    <w:rsid w:val="00762765"/>
    <w:rsid w:val="00762E9C"/>
    <w:rsid w:val="00763254"/>
    <w:rsid w:val="00763EC6"/>
    <w:rsid w:val="007653DD"/>
    <w:rsid w:val="00767191"/>
    <w:rsid w:val="00770469"/>
    <w:rsid w:val="007708E5"/>
    <w:rsid w:val="007713F3"/>
    <w:rsid w:val="00772DA6"/>
    <w:rsid w:val="00773678"/>
    <w:rsid w:val="00773947"/>
    <w:rsid w:val="00773A56"/>
    <w:rsid w:val="00773F4B"/>
    <w:rsid w:val="0077437B"/>
    <w:rsid w:val="00774B01"/>
    <w:rsid w:val="00774B4A"/>
    <w:rsid w:val="00775B34"/>
    <w:rsid w:val="00775B46"/>
    <w:rsid w:val="007769D7"/>
    <w:rsid w:val="00776D59"/>
    <w:rsid w:val="00777124"/>
    <w:rsid w:val="00777244"/>
    <w:rsid w:val="0077777D"/>
    <w:rsid w:val="007779D9"/>
    <w:rsid w:val="00777E20"/>
    <w:rsid w:val="00780162"/>
    <w:rsid w:val="0078093A"/>
    <w:rsid w:val="007811C0"/>
    <w:rsid w:val="0078212C"/>
    <w:rsid w:val="00782191"/>
    <w:rsid w:val="00782679"/>
    <w:rsid w:val="0078307F"/>
    <w:rsid w:val="007840D8"/>
    <w:rsid w:val="00785058"/>
    <w:rsid w:val="00785874"/>
    <w:rsid w:val="00785968"/>
    <w:rsid w:val="00785ACF"/>
    <w:rsid w:val="007862F8"/>
    <w:rsid w:val="00786BBF"/>
    <w:rsid w:val="00787062"/>
    <w:rsid w:val="00787271"/>
    <w:rsid w:val="00787F9D"/>
    <w:rsid w:val="007902A5"/>
    <w:rsid w:val="007915D5"/>
    <w:rsid w:val="007920B2"/>
    <w:rsid w:val="00792A2E"/>
    <w:rsid w:val="00792B9F"/>
    <w:rsid w:val="00793139"/>
    <w:rsid w:val="00793626"/>
    <w:rsid w:val="00793901"/>
    <w:rsid w:val="00793BF2"/>
    <w:rsid w:val="00793D12"/>
    <w:rsid w:val="00794BBB"/>
    <w:rsid w:val="0079567E"/>
    <w:rsid w:val="007956C2"/>
    <w:rsid w:val="00795937"/>
    <w:rsid w:val="00795AF6"/>
    <w:rsid w:val="007961B2"/>
    <w:rsid w:val="0079686B"/>
    <w:rsid w:val="00797303"/>
    <w:rsid w:val="007973CD"/>
    <w:rsid w:val="00797666"/>
    <w:rsid w:val="0079798F"/>
    <w:rsid w:val="00797B0B"/>
    <w:rsid w:val="007A086B"/>
    <w:rsid w:val="007A0A5B"/>
    <w:rsid w:val="007A13A1"/>
    <w:rsid w:val="007A1795"/>
    <w:rsid w:val="007A226E"/>
    <w:rsid w:val="007A247E"/>
    <w:rsid w:val="007A24EB"/>
    <w:rsid w:val="007A2507"/>
    <w:rsid w:val="007A285A"/>
    <w:rsid w:val="007A2D79"/>
    <w:rsid w:val="007A32D1"/>
    <w:rsid w:val="007A3B34"/>
    <w:rsid w:val="007A4070"/>
    <w:rsid w:val="007A5113"/>
    <w:rsid w:val="007A513C"/>
    <w:rsid w:val="007A60EC"/>
    <w:rsid w:val="007A7484"/>
    <w:rsid w:val="007A74A5"/>
    <w:rsid w:val="007A7589"/>
    <w:rsid w:val="007A76D2"/>
    <w:rsid w:val="007A7A15"/>
    <w:rsid w:val="007A7F6B"/>
    <w:rsid w:val="007B00AF"/>
    <w:rsid w:val="007B00C2"/>
    <w:rsid w:val="007B00D5"/>
    <w:rsid w:val="007B024C"/>
    <w:rsid w:val="007B091B"/>
    <w:rsid w:val="007B0ED0"/>
    <w:rsid w:val="007B10C8"/>
    <w:rsid w:val="007B1336"/>
    <w:rsid w:val="007B201A"/>
    <w:rsid w:val="007B20C4"/>
    <w:rsid w:val="007B3F3E"/>
    <w:rsid w:val="007B452D"/>
    <w:rsid w:val="007B4980"/>
    <w:rsid w:val="007B4B9C"/>
    <w:rsid w:val="007B50AA"/>
    <w:rsid w:val="007B5752"/>
    <w:rsid w:val="007B66E7"/>
    <w:rsid w:val="007B6D0B"/>
    <w:rsid w:val="007B6EAB"/>
    <w:rsid w:val="007B6EB9"/>
    <w:rsid w:val="007B71FC"/>
    <w:rsid w:val="007B7D8F"/>
    <w:rsid w:val="007C02D6"/>
    <w:rsid w:val="007C0A95"/>
    <w:rsid w:val="007C0B1B"/>
    <w:rsid w:val="007C0C27"/>
    <w:rsid w:val="007C1306"/>
    <w:rsid w:val="007C22CC"/>
    <w:rsid w:val="007C2390"/>
    <w:rsid w:val="007C24E0"/>
    <w:rsid w:val="007C297F"/>
    <w:rsid w:val="007C2D0C"/>
    <w:rsid w:val="007C2E90"/>
    <w:rsid w:val="007C39AC"/>
    <w:rsid w:val="007C3D7E"/>
    <w:rsid w:val="007C4661"/>
    <w:rsid w:val="007C4759"/>
    <w:rsid w:val="007C49D6"/>
    <w:rsid w:val="007C4AC9"/>
    <w:rsid w:val="007C4FAF"/>
    <w:rsid w:val="007C508B"/>
    <w:rsid w:val="007C50E8"/>
    <w:rsid w:val="007C51DB"/>
    <w:rsid w:val="007C58F1"/>
    <w:rsid w:val="007C5DE1"/>
    <w:rsid w:val="007C5F9F"/>
    <w:rsid w:val="007C6F64"/>
    <w:rsid w:val="007C788E"/>
    <w:rsid w:val="007C78C5"/>
    <w:rsid w:val="007C7CD1"/>
    <w:rsid w:val="007D0147"/>
    <w:rsid w:val="007D02D2"/>
    <w:rsid w:val="007D0ACF"/>
    <w:rsid w:val="007D0D99"/>
    <w:rsid w:val="007D194B"/>
    <w:rsid w:val="007D198D"/>
    <w:rsid w:val="007D19F9"/>
    <w:rsid w:val="007D1D41"/>
    <w:rsid w:val="007D25B1"/>
    <w:rsid w:val="007D2C2E"/>
    <w:rsid w:val="007D2F93"/>
    <w:rsid w:val="007D314E"/>
    <w:rsid w:val="007D35EA"/>
    <w:rsid w:val="007D3A71"/>
    <w:rsid w:val="007D418F"/>
    <w:rsid w:val="007D44AD"/>
    <w:rsid w:val="007D4A56"/>
    <w:rsid w:val="007D4D17"/>
    <w:rsid w:val="007D4D66"/>
    <w:rsid w:val="007D4ECF"/>
    <w:rsid w:val="007D515A"/>
    <w:rsid w:val="007D531F"/>
    <w:rsid w:val="007D57A8"/>
    <w:rsid w:val="007D6221"/>
    <w:rsid w:val="007D6224"/>
    <w:rsid w:val="007D6455"/>
    <w:rsid w:val="007D6E49"/>
    <w:rsid w:val="007D6EF6"/>
    <w:rsid w:val="007D7627"/>
    <w:rsid w:val="007D7A5C"/>
    <w:rsid w:val="007E0151"/>
    <w:rsid w:val="007E019A"/>
    <w:rsid w:val="007E05F6"/>
    <w:rsid w:val="007E0852"/>
    <w:rsid w:val="007E0BC2"/>
    <w:rsid w:val="007E0C35"/>
    <w:rsid w:val="007E1287"/>
    <w:rsid w:val="007E1C70"/>
    <w:rsid w:val="007E1D2E"/>
    <w:rsid w:val="007E1E9A"/>
    <w:rsid w:val="007E23B0"/>
    <w:rsid w:val="007E23B8"/>
    <w:rsid w:val="007E32BC"/>
    <w:rsid w:val="007E33B5"/>
    <w:rsid w:val="007E3CF3"/>
    <w:rsid w:val="007E3DAB"/>
    <w:rsid w:val="007E3E5D"/>
    <w:rsid w:val="007E45A0"/>
    <w:rsid w:val="007E4BA6"/>
    <w:rsid w:val="007E4E6D"/>
    <w:rsid w:val="007E6211"/>
    <w:rsid w:val="007E6734"/>
    <w:rsid w:val="007E7084"/>
    <w:rsid w:val="007E7127"/>
    <w:rsid w:val="007E7B21"/>
    <w:rsid w:val="007F0245"/>
    <w:rsid w:val="007F024F"/>
    <w:rsid w:val="007F0939"/>
    <w:rsid w:val="007F0B7C"/>
    <w:rsid w:val="007F1085"/>
    <w:rsid w:val="007F1250"/>
    <w:rsid w:val="007F14B3"/>
    <w:rsid w:val="007F1665"/>
    <w:rsid w:val="007F1A54"/>
    <w:rsid w:val="007F1A59"/>
    <w:rsid w:val="007F1ADA"/>
    <w:rsid w:val="007F1B38"/>
    <w:rsid w:val="007F1EB1"/>
    <w:rsid w:val="007F2157"/>
    <w:rsid w:val="007F2867"/>
    <w:rsid w:val="007F3334"/>
    <w:rsid w:val="007F3404"/>
    <w:rsid w:val="007F394F"/>
    <w:rsid w:val="007F4650"/>
    <w:rsid w:val="007F4B74"/>
    <w:rsid w:val="007F4E80"/>
    <w:rsid w:val="007F518F"/>
    <w:rsid w:val="007F5F65"/>
    <w:rsid w:val="007F6120"/>
    <w:rsid w:val="007F63C4"/>
    <w:rsid w:val="007F6D1C"/>
    <w:rsid w:val="007F6E9E"/>
    <w:rsid w:val="007F75E7"/>
    <w:rsid w:val="0080136E"/>
    <w:rsid w:val="00801F0B"/>
    <w:rsid w:val="00802AFC"/>
    <w:rsid w:val="00803C84"/>
    <w:rsid w:val="00803E51"/>
    <w:rsid w:val="00804099"/>
    <w:rsid w:val="00804124"/>
    <w:rsid w:val="00804174"/>
    <w:rsid w:val="008041BD"/>
    <w:rsid w:val="008042AA"/>
    <w:rsid w:val="00804477"/>
    <w:rsid w:val="00804752"/>
    <w:rsid w:val="0080489C"/>
    <w:rsid w:val="00804A9E"/>
    <w:rsid w:val="00804D8E"/>
    <w:rsid w:val="00804F93"/>
    <w:rsid w:val="00805308"/>
    <w:rsid w:val="0080556B"/>
    <w:rsid w:val="00805854"/>
    <w:rsid w:val="00805871"/>
    <w:rsid w:val="00805C63"/>
    <w:rsid w:val="00806F71"/>
    <w:rsid w:val="008105F9"/>
    <w:rsid w:val="00810820"/>
    <w:rsid w:val="00810895"/>
    <w:rsid w:val="00810A6D"/>
    <w:rsid w:val="00811139"/>
    <w:rsid w:val="008114A2"/>
    <w:rsid w:val="008114EE"/>
    <w:rsid w:val="00811EB1"/>
    <w:rsid w:val="00812532"/>
    <w:rsid w:val="008128DF"/>
    <w:rsid w:val="00812B2A"/>
    <w:rsid w:val="00812D27"/>
    <w:rsid w:val="00813D4F"/>
    <w:rsid w:val="008145B1"/>
    <w:rsid w:val="00814676"/>
    <w:rsid w:val="00815EE9"/>
    <w:rsid w:val="00816154"/>
    <w:rsid w:val="008167EF"/>
    <w:rsid w:val="008169F5"/>
    <w:rsid w:val="00816C0B"/>
    <w:rsid w:val="00816C75"/>
    <w:rsid w:val="00817131"/>
    <w:rsid w:val="0081728E"/>
    <w:rsid w:val="00820554"/>
    <w:rsid w:val="008209E9"/>
    <w:rsid w:val="00820DBE"/>
    <w:rsid w:val="00820EDC"/>
    <w:rsid w:val="00821414"/>
    <w:rsid w:val="00821664"/>
    <w:rsid w:val="00821DD6"/>
    <w:rsid w:val="00822650"/>
    <w:rsid w:val="008234C5"/>
    <w:rsid w:val="00824DBB"/>
    <w:rsid w:val="0082533B"/>
    <w:rsid w:val="00825D79"/>
    <w:rsid w:val="008262A5"/>
    <w:rsid w:val="008265E5"/>
    <w:rsid w:val="0082669A"/>
    <w:rsid w:val="00826758"/>
    <w:rsid w:val="0082722D"/>
    <w:rsid w:val="008301B7"/>
    <w:rsid w:val="00830768"/>
    <w:rsid w:val="0083107F"/>
    <w:rsid w:val="0083113E"/>
    <w:rsid w:val="00831159"/>
    <w:rsid w:val="00831CD7"/>
    <w:rsid w:val="00831E8F"/>
    <w:rsid w:val="00831F18"/>
    <w:rsid w:val="00832322"/>
    <w:rsid w:val="008324F2"/>
    <w:rsid w:val="008327BC"/>
    <w:rsid w:val="008327DC"/>
    <w:rsid w:val="00832930"/>
    <w:rsid w:val="00832C90"/>
    <w:rsid w:val="008330D3"/>
    <w:rsid w:val="008333FB"/>
    <w:rsid w:val="008337BD"/>
    <w:rsid w:val="00833D81"/>
    <w:rsid w:val="00833E05"/>
    <w:rsid w:val="00834098"/>
    <w:rsid w:val="00834E26"/>
    <w:rsid w:val="008354AC"/>
    <w:rsid w:val="00836049"/>
    <w:rsid w:val="008362FB"/>
    <w:rsid w:val="00836BF6"/>
    <w:rsid w:val="0083767B"/>
    <w:rsid w:val="008378D6"/>
    <w:rsid w:val="00837E82"/>
    <w:rsid w:val="008411CA"/>
    <w:rsid w:val="00841BF5"/>
    <w:rsid w:val="00841CBF"/>
    <w:rsid w:val="008424F2"/>
    <w:rsid w:val="00842B1F"/>
    <w:rsid w:val="00842EE5"/>
    <w:rsid w:val="0084313F"/>
    <w:rsid w:val="0084318F"/>
    <w:rsid w:val="008432D9"/>
    <w:rsid w:val="00844113"/>
    <w:rsid w:val="008447BC"/>
    <w:rsid w:val="0084535F"/>
    <w:rsid w:val="00845390"/>
    <w:rsid w:val="00845BDC"/>
    <w:rsid w:val="00846486"/>
    <w:rsid w:val="008465A2"/>
    <w:rsid w:val="00846D79"/>
    <w:rsid w:val="00847719"/>
    <w:rsid w:val="00847AA3"/>
    <w:rsid w:val="00847EDE"/>
    <w:rsid w:val="00850022"/>
    <w:rsid w:val="008503FF"/>
    <w:rsid w:val="00850B23"/>
    <w:rsid w:val="008510A4"/>
    <w:rsid w:val="008517D7"/>
    <w:rsid w:val="00852102"/>
    <w:rsid w:val="00852251"/>
    <w:rsid w:val="008525E6"/>
    <w:rsid w:val="0085367E"/>
    <w:rsid w:val="008537DE"/>
    <w:rsid w:val="008544D8"/>
    <w:rsid w:val="0085452D"/>
    <w:rsid w:val="00854C46"/>
    <w:rsid w:val="00854C97"/>
    <w:rsid w:val="00854E6C"/>
    <w:rsid w:val="0085518F"/>
    <w:rsid w:val="00855A63"/>
    <w:rsid w:val="008565B5"/>
    <w:rsid w:val="008565F6"/>
    <w:rsid w:val="00856728"/>
    <w:rsid w:val="0085687D"/>
    <w:rsid w:val="00857492"/>
    <w:rsid w:val="0085760F"/>
    <w:rsid w:val="00857B73"/>
    <w:rsid w:val="0086087F"/>
    <w:rsid w:val="008608E2"/>
    <w:rsid w:val="00861462"/>
    <w:rsid w:val="008620E2"/>
    <w:rsid w:val="008621EF"/>
    <w:rsid w:val="008627B3"/>
    <w:rsid w:val="00863156"/>
    <w:rsid w:val="008632DF"/>
    <w:rsid w:val="00863E9B"/>
    <w:rsid w:val="00864282"/>
    <w:rsid w:val="008643B0"/>
    <w:rsid w:val="00864427"/>
    <w:rsid w:val="00864649"/>
    <w:rsid w:val="008648AE"/>
    <w:rsid w:val="00864C59"/>
    <w:rsid w:val="00864D94"/>
    <w:rsid w:val="00864EC6"/>
    <w:rsid w:val="00864F0B"/>
    <w:rsid w:val="00864F28"/>
    <w:rsid w:val="00865326"/>
    <w:rsid w:val="008654AE"/>
    <w:rsid w:val="0086659D"/>
    <w:rsid w:val="00867E08"/>
    <w:rsid w:val="00867F62"/>
    <w:rsid w:val="00870353"/>
    <w:rsid w:val="00871A59"/>
    <w:rsid w:val="008722D6"/>
    <w:rsid w:val="008722F5"/>
    <w:rsid w:val="00872D31"/>
    <w:rsid w:val="00873066"/>
    <w:rsid w:val="00873970"/>
    <w:rsid w:val="00873B4C"/>
    <w:rsid w:val="00874852"/>
    <w:rsid w:val="008757C6"/>
    <w:rsid w:val="0087584F"/>
    <w:rsid w:val="00875B7B"/>
    <w:rsid w:val="00875E47"/>
    <w:rsid w:val="008760F4"/>
    <w:rsid w:val="00876B3E"/>
    <w:rsid w:val="00877041"/>
    <w:rsid w:val="00880643"/>
    <w:rsid w:val="0088095D"/>
    <w:rsid w:val="00880BDA"/>
    <w:rsid w:val="00880D82"/>
    <w:rsid w:val="00881053"/>
    <w:rsid w:val="00881C6C"/>
    <w:rsid w:val="0088262B"/>
    <w:rsid w:val="008839EF"/>
    <w:rsid w:val="00883C92"/>
    <w:rsid w:val="00884CC2"/>
    <w:rsid w:val="00884CC9"/>
    <w:rsid w:val="008850A9"/>
    <w:rsid w:val="008850C2"/>
    <w:rsid w:val="008851D1"/>
    <w:rsid w:val="008851D8"/>
    <w:rsid w:val="00885396"/>
    <w:rsid w:val="00886274"/>
    <w:rsid w:val="008868E3"/>
    <w:rsid w:val="00886B01"/>
    <w:rsid w:val="00887656"/>
    <w:rsid w:val="00887750"/>
    <w:rsid w:val="008878F9"/>
    <w:rsid w:val="00887977"/>
    <w:rsid w:val="00887B95"/>
    <w:rsid w:val="00890334"/>
    <w:rsid w:val="00890AB8"/>
    <w:rsid w:val="00890E22"/>
    <w:rsid w:val="0089111F"/>
    <w:rsid w:val="00892284"/>
    <w:rsid w:val="00892B95"/>
    <w:rsid w:val="008942EB"/>
    <w:rsid w:val="00894BCA"/>
    <w:rsid w:val="0089505E"/>
    <w:rsid w:val="00895384"/>
    <w:rsid w:val="00895778"/>
    <w:rsid w:val="00895ADA"/>
    <w:rsid w:val="0089619B"/>
    <w:rsid w:val="00896E11"/>
    <w:rsid w:val="008970C5"/>
    <w:rsid w:val="008974E3"/>
    <w:rsid w:val="00897778"/>
    <w:rsid w:val="008A00F2"/>
    <w:rsid w:val="008A030A"/>
    <w:rsid w:val="008A03CB"/>
    <w:rsid w:val="008A09B9"/>
    <w:rsid w:val="008A0E13"/>
    <w:rsid w:val="008A1572"/>
    <w:rsid w:val="008A18B4"/>
    <w:rsid w:val="008A2E35"/>
    <w:rsid w:val="008A308F"/>
    <w:rsid w:val="008A3165"/>
    <w:rsid w:val="008A4194"/>
    <w:rsid w:val="008A5547"/>
    <w:rsid w:val="008A5A48"/>
    <w:rsid w:val="008A67A9"/>
    <w:rsid w:val="008A691B"/>
    <w:rsid w:val="008A7140"/>
    <w:rsid w:val="008A75D6"/>
    <w:rsid w:val="008A7736"/>
    <w:rsid w:val="008A7923"/>
    <w:rsid w:val="008A7BDD"/>
    <w:rsid w:val="008B0B7D"/>
    <w:rsid w:val="008B0FAC"/>
    <w:rsid w:val="008B112F"/>
    <w:rsid w:val="008B1535"/>
    <w:rsid w:val="008B173C"/>
    <w:rsid w:val="008B24DC"/>
    <w:rsid w:val="008B25D4"/>
    <w:rsid w:val="008B2DBB"/>
    <w:rsid w:val="008B318D"/>
    <w:rsid w:val="008B393C"/>
    <w:rsid w:val="008B3ADF"/>
    <w:rsid w:val="008B467E"/>
    <w:rsid w:val="008B4792"/>
    <w:rsid w:val="008B4FF5"/>
    <w:rsid w:val="008B50D2"/>
    <w:rsid w:val="008B5686"/>
    <w:rsid w:val="008B5CE0"/>
    <w:rsid w:val="008B688F"/>
    <w:rsid w:val="008B73E3"/>
    <w:rsid w:val="008B7745"/>
    <w:rsid w:val="008B78EA"/>
    <w:rsid w:val="008C007F"/>
    <w:rsid w:val="008C0C07"/>
    <w:rsid w:val="008C1590"/>
    <w:rsid w:val="008C1DBF"/>
    <w:rsid w:val="008C1DD3"/>
    <w:rsid w:val="008C1ED1"/>
    <w:rsid w:val="008C211A"/>
    <w:rsid w:val="008C234E"/>
    <w:rsid w:val="008C2B9F"/>
    <w:rsid w:val="008C3407"/>
    <w:rsid w:val="008C3725"/>
    <w:rsid w:val="008C3E8D"/>
    <w:rsid w:val="008C4A63"/>
    <w:rsid w:val="008C5AA3"/>
    <w:rsid w:val="008C6886"/>
    <w:rsid w:val="008C6EE6"/>
    <w:rsid w:val="008C6FE9"/>
    <w:rsid w:val="008C7251"/>
    <w:rsid w:val="008C78AD"/>
    <w:rsid w:val="008D06A3"/>
    <w:rsid w:val="008D1099"/>
    <w:rsid w:val="008D194F"/>
    <w:rsid w:val="008D1AD0"/>
    <w:rsid w:val="008D2979"/>
    <w:rsid w:val="008D2F42"/>
    <w:rsid w:val="008D3217"/>
    <w:rsid w:val="008D3466"/>
    <w:rsid w:val="008D36E8"/>
    <w:rsid w:val="008D40AF"/>
    <w:rsid w:val="008D4509"/>
    <w:rsid w:val="008D4BFA"/>
    <w:rsid w:val="008D4DCD"/>
    <w:rsid w:val="008D515E"/>
    <w:rsid w:val="008D563E"/>
    <w:rsid w:val="008D57DA"/>
    <w:rsid w:val="008D5E2D"/>
    <w:rsid w:val="008D6BB1"/>
    <w:rsid w:val="008D7939"/>
    <w:rsid w:val="008D79C8"/>
    <w:rsid w:val="008D7D75"/>
    <w:rsid w:val="008E060C"/>
    <w:rsid w:val="008E1647"/>
    <w:rsid w:val="008E1934"/>
    <w:rsid w:val="008E26DE"/>
    <w:rsid w:val="008E273D"/>
    <w:rsid w:val="008E278A"/>
    <w:rsid w:val="008E2EA8"/>
    <w:rsid w:val="008E36A2"/>
    <w:rsid w:val="008E384B"/>
    <w:rsid w:val="008E3AEB"/>
    <w:rsid w:val="008E41EF"/>
    <w:rsid w:val="008E434B"/>
    <w:rsid w:val="008E4390"/>
    <w:rsid w:val="008E4484"/>
    <w:rsid w:val="008E4915"/>
    <w:rsid w:val="008E4D3A"/>
    <w:rsid w:val="008E5BF2"/>
    <w:rsid w:val="008E68B5"/>
    <w:rsid w:val="008E6C4E"/>
    <w:rsid w:val="008E6CB1"/>
    <w:rsid w:val="008F012D"/>
    <w:rsid w:val="008F1172"/>
    <w:rsid w:val="008F15A3"/>
    <w:rsid w:val="008F2E26"/>
    <w:rsid w:val="008F2F49"/>
    <w:rsid w:val="008F3CBC"/>
    <w:rsid w:val="008F42FF"/>
    <w:rsid w:val="008F4829"/>
    <w:rsid w:val="008F5077"/>
    <w:rsid w:val="008F58AA"/>
    <w:rsid w:val="008F5E06"/>
    <w:rsid w:val="008F5ED3"/>
    <w:rsid w:val="008F6891"/>
    <w:rsid w:val="008F6A27"/>
    <w:rsid w:val="008F6B2A"/>
    <w:rsid w:val="008F73C8"/>
    <w:rsid w:val="008F779A"/>
    <w:rsid w:val="008F77F1"/>
    <w:rsid w:val="008F7B47"/>
    <w:rsid w:val="008F7FB7"/>
    <w:rsid w:val="009000DE"/>
    <w:rsid w:val="00900271"/>
    <w:rsid w:val="00901665"/>
    <w:rsid w:val="0090189E"/>
    <w:rsid w:val="0090249D"/>
    <w:rsid w:val="00902829"/>
    <w:rsid w:val="00902EAE"/>
    <w:rsid w:val="00904CFB"/>
    <w:rsid w:val="009052B3"/>
    <w:rsid w:val="00905418"/>
    <w:rsid w:val="00905A74"/>
    <w:rsid w:val="00905BBC"/>
    <w:rsid w:val="00906D33"/>
    <w:rsid w:val="009079B0"/>
    <w:rsid w:val="00907D0B"/>
    <w:rsid w:val="00910649"/>
    <w:rsid w:val="00911003"/>
    <w:rsid w:val="00911639"/>
    <w:rsid w:val="00911A60"/>
    <w:rsid w:val="00911DD8"/>
    <w:rsid w:val="00912318"/>
    <w:rsid w:val="0091278D"/>
    <w:rsid w:val="00912A61"/>
    <w:rsid w:val="00912CAF"/>
    <w:rsid w:val="00912F86"/>
    <w:rsid w:val="00913556"/>
    <w:rsid w:val="0091382F"/>
    <w:rsid w:val="009139D0"/>
    <w:rsid w:val="00913B81"/>
    <w:rsid w:val="00913C46"/>
    <w:rsid w:val="00913EAF"/>
    <w:rsid w:val="0091465D"/>
    <w:rsid w:val="009155E9"/>
    <w:rsid w:val="00915AE0"/>
    <w:rsid w:val="009175FA"/>
    <w:rsid w:val="009207CA"/>
    <w:rsid w:val="009207D6"/>
    <w:rsid w:val="00920BC8"/>
    <w:rsid w:val="00920D90"/>
    <w:rsid w:val="00920F5A"/>
    <w:rsid w:val="00921227"/>
    <w:rsid w:val="0092169E"/>
    <w:rsid w:val="0092218C"/>
    <w:rsid w:val="00922877"/>
    <w:rsid w:val="009229D4"/>
    <w:rsid w:val="00922E79"/>
    <w:rsid w:val="00923A7B"/>
    <w:rsid w:val="00923FB9"/>
    <w:rsid w:val="00924643"/>
    <w:rsid w:val="00924652"/>
    <w:rsid w:val="00924B74"/>
    <w:rsid w:val="00924BB9"/>
    <w:rsid w:val="00924FC3"/>
    <w:rsid w:val="00924FF7"/>
    <w:rsid w:val="009253A1"/>
    <w:rsid w:val="00925CA8"/>
    <w:rsid w:val="0092618C"/>
    <w:rsid w:val="009264B7"/>
    <w:rsid w:val="00926ABC"/>
    <w:rsid w:val="00926E80"/>
    <w:rsid w:val="00927AE9"/>
    <w:rsid w:val="00930214"/>
    <w:rsid w:val="009313EA"/>
    <w:rsid w:val="009318E2"/>
    <w:rsid w:val="00931C46"/>
    <w:rsid w:val="009320F3"/>
    <w:rsid w:val="00932813"/>
    <w:rsid w:val="00932916"/>
    <w:rsid w:val="00932994"/>
    <w:rsid w:val="00932C7A"/>
    <w:rsid w:val="00932CD5"/>
    <w:rsid w:val="00933198"/>
    <w:rsid w:val="00934447"/>
    <w:rsid w:val="00934893"/>
    <w:rsid w:val="00936756"/>
    <w:rsid w:val="0093691A"/>
    <w:rsid w:val="00937069"/>
    <w:rsid w:val="009370D2"/>
    <w:rsid w:val="009378F2"/>
    <w:rsid w:val="0093795A"/>
    <w:rsid w:val="0094049A"/>
    <w:rsid w:val="00940EB3"/>
    <w:rsid w:val="009412E3"/>
    <w:rsid w:val="00941C07"/>
    <w:rsid w:val="00941CCC"/>
    <w:rsid w:val="00942636"/>
    <w:rsid w:val="009431B7"/>
    <w:rsid w:val="0094336A"/>
    <w:rsid w:val="009441CB"/>
    <w:rsid w:val="00944557"/>
    <w:rsid w:val="00944AA4"/>
    <w:rsid w:val="00944D48"/>
    <w:rsid w:val="00944D9B"/>
    <w:rsid w:val="00944DB9"/>
    <w:rsid w:val="00946074"/>
    <w:rsid w:val="009463AC"/>
    <w:rsid w:val="009470A1"/>
    <w:rsid w:val="0094779B"/>
    <w:rsid w:val="00950345"/>
    <w:rsid w:val="009509CB"/>
    <w:rsid w:val="00950D35"/>
    <w:rsid w:val="00950D7D"/>
    <w:rsid w:val="00951798"/>
    <w:rsid w:val="00951C51"/>
    <w:rsid w:val="00951E48"/>
    <w:rsid w:val="00952045"/>
    <w:rsid w:val="00952303"/>
    <w:rsid w:val="009527FE"/>
    <w:rsid w:val="00952ABD"/>
    <w:rsid w:val="00953475"/>
    <w:rsid w:val="009539F6"/>
    <w:rsid w:val="00953F0B"/>
    <w:rsid w:val="00953FEE"/>
    <w:rsid w:val="009542C9"/>
    <w:rsid w:val="00955436"/>
    <w:rsid w:val="00955F9D"/>
    <w:rsid w:val="00956210"/>
    <w:rsid w:val="00956B3B"/>
    <w:rsid w:val="0095719E"/>
    <w:rsid w:val="009576C8"/>
    <w:rsid w:val="00957A44"/>
    <w:rsid w:val="00957ED9"/>
    <w:rsid w:val="00960198"/>
    <w:rsid w:val="009607E4"/>
    <w:rsid w:val="009612F5"/>
    <w:rsid w:val="00961B74"/>
    <w:rsid w:val="00961C38"/>
    <w:rsid w:val="00961E02"/>
    <w:rsid w:val="0096227D"/>
    <w:rsid w:val="009625B6"/>
    <w:rsid w:val="00962A5D"/>
    <w:rsid w:val="00962E2C"/>
    <w:rsid w:val="009630E3"/>
    <w:rsid w:val="00963F55"/>
    <w:rsid w:val="00964360"/>
    <w:rsid w:val="00964BD5"/>
    <w:rsid w:val="00964C26"/>
    <w:rsid w:val="00965D42"/>
    <w:rsid w:val="009660A1"/>
    <w:rsid w:val="00966562"/>
    <w:rsid w:val="009666BD"/>
    <w:rsid w:val="00966884"/>
    <w:rsid w:val="00966982"/>
    <w:rsid w:val="0096776F"/>
    <w:rsid w:val="00967BD6"/>
    <w:rsid w:val="00970785"/>
    <w:rsid w:val="00970DD4"/>
    <w:rsid w:val="0097161F"/>
    <w:rsid w:val="00971E65"/>
    <w:rsid w:val="00971F47"/>
    <w:rsid w:val="0097210C"/>
    <w:rsid w:val="00972256"/>
    <w:rsid w:val="00972D04"/>
    <w:rsid w:val="00973577"/>
    <w:rsid w:val="00973758"/>
    <w:rsid w:val="0097398D"/>
    <w:rsid w:val="00974012"/>
    <w:rsid w:val="00974C7D"/>
    <w:rsid w:val="0097501D"/>
    <w:rsid w:val="00975426"/>
    <w:rsid w:val="00975523"/>
    <w:rsid w:val="00976E29"/>
    <w:rsid w:val="00976FC2"/>
    <w:rsid w:val="0097752F"/>
    <w:rsid w:val="00977AD0"/>
    <w:rsid w:val="00977BEE"/>
    <w:rsid w:val="00980681"/>
    <w:rsid w:val="00981D5F"/>
    <w:rsid w:val="0098259E"/>
    <w:rsid w:val="00982917"/>
    <w:rsid w:val="00983A27"/>
    <w:rsid w:val="00983A28"/>
    <w:rsid w:val="00983C9E"/>
    <w:rsid w:val="00984E64"/>
    <w:rsid w:val="00985439"/>
    <w:rsid w:val="009856D1"/>
    <w:rsid w:val="00985865"/>
    <w:rsid w:val="009858A6"/>
    <w:rsid w:val="00985A34"/>
    <w:rsid w:val="00985C30"/>
    <w:rsid w:val="00985F3A"/>
    <w:rsid w:val="00987253"/>
    <w:rsid w:val="009873FD"/>
    <w:rsid w:val="00990763"/>
    <w:rsid w:val="00990AE0"/>
    <w:rsid w:val="00990C3D"/>
    <w:rsid w:val="009913DD"/>
    <w:rsid w:val="00991A14"/>
    <w:rsid w:val="0099222B"/>
    <w:rsid w:val="009925EF"/>
    <w:rsid w:val="00992890"/>
    <w:rsid w:val="00992DEC"/>
    <w:rsid w:val="00993732"/>
    <w:rsid w:val="009939E6"/>
    <w:rsid w:val="009942C3"/>
    <w:rsid w:val="0099463B"/>
    <w:rsid w:val="009949B4"/>
    <w:rsid w:val="00994D70"/>
    <w:rsid w:val="00995945"/>
    <w:rsid w:val="00996F6B"/>
    <w:rsid w:val="009978EC"/>
    <w:rsid w:val="00997C27"/>
    <w:rsid w:val="00997DB5"/>
    <w:rsid w:val="009A0A22"/>
    <w:rsid w:val="009A0A29"/>
    <w:rsid w:val="009A0BCE"/>
    <w:rsid w:val="009A12AF"/>
    <w:rsid w:val="009A193F"/>
    <w:rsid w:val="009A1DF1"/>
    <w:rsid w:val="009A23F2"/>
    <w:rsid w:val="009A25CA"/>
    <w:rsid w:val="009A2FD4"/>
    <w:rsid w:val="009A34B5"/>
    <w:rsid w:val="009A358C"/>
    <w:rsid w:val="009A389F"/>
    <w:rsid w:val="009A38EA"/>
    <w:rsid w:val="009A396A"/>
    <w:rsid w:val="009A3BE8"/>
    <w:rsid w:val="009A3C29"/>
    <w:rsid w:val="009A4009"/>
    <w:rsid w:val="009A4503"/>
    <w:rsid w:val="009A456E"/>
    <w:rsid w:val="009A4700"/>
    <w:rsid w:val="009A492A"/>
    <w:rsid w:val="009A4975"/>
    <w:rsid w:val="009A53F7"/>
    <w:rsid w:val="009A5856"/>
    <w:rsid w:val="009A587B"/>
    <w:rsid w:val="009A5919"/>
    <w:rsid w:val="009A5C7B"/>
    <w:rsid w:val="009A5D53"/>
    <w:rsid w:val="009A62AC"/>
    <w:rsid w:val="009A635B"/>
    <w:rsid w:val="009A6906"/>
    <w:rsid w:val="009A6B1F"/>
    <w:rsid w:val="009A6FCD"/>
    <w:rsid w:val="009A70D8"/>
    <w:rsid w:val="009B029D"/>
    <w:rsid w:val="009B0AEB"/>
    <w:rsid w:val="009B0BAE"/>
    <w:rsid w:val="009B115B"/>
    <w:rsid w:val="009B15E1"/>
    <w:rsid w:val="009B172F"/>
    <w:rsid w:val="009B21E1"/>
    <w:rsid w:val="009B29D6"/>
    <w:rsid w:val="009B2B95"/>
    <w:rsid w:val="009B2E1A"/>
    <w:rsid w:val="009B2E44"/>
    <w:rsid w:val="009B3765"/>
    <w:rsid w:val="009B4180"/>
    <w:rsid w:val="009B437B"/>
    <w:rsid w:val="009B481D"/>
    <w:rsid w:val="009B4AAC"/>
    <w:rsid w:val="009B4AF0"/>
    <w:rsid w:val="009B5DE2"/>
    <w:rsid w:val="009B63C1"/>
    <w:rsid w:val="009B7358"/>
    <w:rsid w:val="009B7AF3"/>
    <w:rsid w:val="009B7BEB"/>
    <w:rsid w:val="009C047C"/>
    <w:rsid w:val="009C1133"/>
    <w:rsid w:val="009C158F"/>
    <w:rsid w:val="009C1697"/>
    <w:rsid w:val="009C189D"/>
    <w:rsid w:val="009C1A02"/>
    <w:rsid w:val="009C2340"/>
    <w:rsid w:val="009C26F8"/>
    <w:rsid w:val="009C311C"/>
    <w:rsid w:val="009C37D3"/>
    <w:rsid w:val="009C396B"/>
    <w:rsid w:val="009C3CB9"/>
    <w:rsid w:val="009C3FFC"/>
    <w:rsid w:val="009C407F"/>
    <w:rsid w:val="009C416B"/>
    <w:rsid w:val="009C4685"/>
    <w:rsid w:val="009C51BB"/>
    <w:rsid w:val="009C5419"/>
    <w:rsid w:val="009C5496"/>
    <w:rsid w:val="009C6B9E"/>
    <w:rsid w:val="009C7904"/>
    <w:rsid w:val="009D0954"/>
    <w:rsid w:val="009D0A60"/>
    <w:rsid w:val="009D0A70"/>
    <w:rsid w:val="009D1059"/>
    <w:rsid w:val="009D1081"/>
    <w:rsid w:val="009D1490"/>
    <w:rsid w:val="009D1915"/>
    <w:rsid w:val="009D1C0D"/>
    <w:rsid w:val="009D26E6"/>
    <w:rsid w:val="009D2D06"/>
    <w:rsid w:val="009D2F6F"/>
    <w:rsid w:val="009D31ED"/>
    <w:rsid w:val="009D3752"/>
    <w:rsid w:val="009D403D"/>
    <w:rsid w:val="009D4151"/>
    <w:rsid w:val="009D5A32"/>
    <w:rsid w:val="009D5CE3"/>
    <w:rsid w:val="009D5D3F"/>
    <w:rsid w:val="009D68CC"/>
    <w:rsid w:val="009D6D36"/>
    <w:rsid w:val="009D726F"/>
    <w:rsid w:val="009D739F"/>
    <w:rsid w:val="009D776F"/>
    <w:rsid w:val="009D7CA9"/>
    <w:rsid w:val="009D7D3A"/>
    <w:rsid w:val="009E0503"/>
    <w:rsid w:val="009E0C78"/>
    <w:rsid w:val="009E18C9"/>
    <w:rsid w:val="009E1E1A"/>
    <w:rsid w:val="009E20CD"/>
    <w:rsid w:val="009E269D"/>
    <w:rsid w:val="009E2937"/>
    <w:rsid w:val="009E2AEF"/>
    <w:rsid w:val="009E314F"/>
    <w:rsid w:val="009E3811"/>
    <w:rsid w:val="009E3E34"/>
    <w:rsid w:val="009E3EEE"/>
    <w:rsid w:val="009E452F"/>
    <w:rsid w:val="009E4B53"/>
    <w:rsid w:val="009E4D76"/>
    <w:rsid w:val="009E4FA4"/>
    <w:rsid w:val="009E546B"/>
    <w:rsid w:val="009E5F9A"/>
    <w:rsid w:val="009E5FB4"/>
    <w:rsid w:val="009E6A21"/>
    <w:rsid w:val="009E78DD"/>
    <w:rsid w:val="009E7A54"/>
    <w:rsid w:val="009E7D4A"/>
    <w:rsid w:val="009F0046"/>
    <w:rsid w:val="009F0641"/>
    <w:rsid w:val="009F073F"/>
    <w:rsid w:val="009F1EFD"/>
    <w:rsid w:val="009F1FA6"/>
    <w:rsid w:val="009F22CE"/>
    <w:rsid w:val="009F22D2"/>
    <w:rsid w:val="009F2667"/>
    <w:rsid w:val="009F26DC"/>
    <w:rsid w:val="009F306C"/>
    <w:rsid w:val="009F3733"/>
    <w:rsid w:val="009F3BC5"/>
    <w:rsid w:val="009F464A"/>
    <w:rsid w:val="009F4986"/>
    <w:rsid w:val="009F5005"/>
    <w:rsid w:val="009F5871"/>
    <w:rsid w:val="009F61B5"/>
    <w:rsid w:val="009F62D7"/>
    <w:rsid w:val="009F6EC1"/>
    <w:rsid w:val="00A00636"/>
    <w:rsid w:val="00A00F6F"/>
    <w:rsid w:val="00A01EB9"/>
    <w:rsid w:val="00A02394"/>
    <w:rsid w:val="00A02550"/>
    <w:rsid w:val="00A02565"/>
    <w:rsid w:val="00A02725"/>
    <w:rsid w:val="00A02F65"/>
    <w:rsid w:val="00A03762"/>
    <w:rsid w:val="00A03C7D"/>
    <w:rsid w:val="00A04D3F"/>
    <w:rsid w:val="00A053CD"/>
    <w:rsid w:val="00A075BF"/>
    <w:rsid w:val="00A100C9"/>
    <w:rsid w:val="00A100DE"/>
    <w:rsid w:val="00A105C9"/>
    <w:rsid w:val="00A113AB"/>
    <w:rsid w:val="00A11B76"/>
    <w:rsid w:val="00A12005"/>
    <w:rsid w:val="00A130D7"/>
    <w:rsid w:val="00A13158"/>
    <w:rsid w:val="00A14E14"/>
    <w:rsid w:val="00A14EBA"/>
    <w:rsid w:val="00A15227"/>
    <w:rsid w:val="00A15818"/>
    <w:rsid w:val="00A160E7"/>
    <w:rsid w:val="00A170FE"/>
    <w:rsid w:val="00A17173"/>
    <w:rsid w:val="00A1719F"/>
    <w:rsid w:val="00A174BF"/>
    <w:rsid w:val="00A176AE"/>
    <w:rsid w:val="00A176FA"/>
    <w:rsid w:val="00A17E4F"/>
    <w:rsid w:val="00A2002A"/>
    <w:rsid w:val="00A20081"/>
    <w:rsid w:val="00A2221B"/>
    <w:rsid w:val="00A226A0"/>
    <w:rsid w:val="00A22B3A"/>
    <w:rsid w:val="00A23018"/>
    <w:rsid w:val="00A23479"/>
    <w:rsid w:val="00A23933"/>
    <w:rsid w:val="00A23B28"/>
    <w:rsid w:val="00A23D4B"/>
    <w:rsid w:val="00A23E43"/>
    <w:rsid w:val="00A23FFC"/>
    <w:rsid w:val="00A241EC"/>
    <w:rsid w:val="00A24F7C"/>
    <w:rsid w:val="00A255B0"/>
    <w:rsid w:val="00A25833"/>
    <w:rsid w:val="00A25D78"/>
    <w:rsid w:val="00A25D7A"/>
    <w:rsid w:val="00A266B0"/>
    <w:rsid w:val="00A26AA8"/>
    <w:rsid w:val="00A2729E"/>
    <w:rsid w:val="00A27761"/>
    <w:rsid w:val="00A30344"/>
    <w:rsid w:val="00A30601"/>
    <w:rsid w:val="00A30A75"/>
    <w:rsid w:val="00A30C90"/>
    <w:rsid w:val="00A3189E"/>
    <w:rsid w:val="00A319DC"/>
    <w:rsid w:val="00A322AD"/>
    <w:rsid w:val="00A32CDC"/>
    <w:rsid w:val="00A331B4"/>
    <w:rsid w:val="00A334E6"/>
    <w:rsid w:val="00A34632"/>
    <w:rsid w:val="00A3487B"/>
    <w:rsid w:val="00A34EAF"/>
    <w:rsid w:val="00A3505E"/>
    <w:rsid w:val="00A35750"/>
    <w:rsid w:val="00A35B06"/>
    <w:rsid w:val="00A36933"/>
    <w:rsid w:val="00A36FB8"/>
    <w:rsid w:val="00A3729B"/>
    <w:rsid w:val="00A37655"/>
    <w:rsid w:val="00A40953"/>
    <w:rsid w:val="00A4097C"/>
    <w:rsid w:val="00A4124B"/>
    <w:rsid w:val="00A42543"/>
    <w:rsid w:val="00A429F3"/>
    <w:rsid w:val="00A43DFC"/>
    <w:rsid w:val="00A44E28"/>
    <w:rsid w:val="00A45277"/>
    <w:rsid w:val="00A4531D"/>
    <w:rsid w:val="00A45C81"/>
    <w:rsid w:val="00A46088"/>
    <w:rsid w:val="00A46496"/>
    <w:rsid w:val="00A468C0"/>
    <w:rsid w:val="00A4742A"/>
    <w:rsid w:val="00A47E9E"/>
    <w:rsid w:val="00A5030D"/>
    <w:rsid w:val="00A5136C"/>
    <w:rsid w:val="00A51C5E"/>
    <w:rsid w:val="00A51F99"/>
    <w:rsid w:val="00A51FA7"/>
    <w:rsid w:val="00A5234C"/>
    <w:rsid w:val="00A52587"/>
    <w:rsid w:val="00A52E2C"/>
    <w:rsid w:val="00A532F4"/>
    <w:rsid w:val="00A53E43"/>
    <w:rsid w:val="00A5444A"/>
    <w:rsid w:val="00A5467B"/>
    <w:rsid w:val="00A5492C"/>
    <w:rsid w:val="00A54D85"/>
    <w:rsid w:val="00A564FC"/>
    <w:rsid w:val="00A56940"/>
    <w:rsid w:val="00A56AF7"/>
    <w:rsid w:val="00A56CFF"/>
    <w:rsid w:val="00A56E2E"/>
    <w:rsid w:val="00A601A8"/>
    <w:rsid w:val="00A60850"/>
    <w:rsid w:val="00A61190"/>
    <w:rsid w:val="00A612E3"/>
    <w:rsid w:val="00A6136B"/>
    <w:rsid w:val="00A6162B"/>
    <w:rsid w:val="00A61CA2"/>
    <w:rsid w:val="00A6250E"/>
    <w:rsid w:val="00A62559"/>
    <w:rsid w:val="00A628A9"/>
    <w:rsid w:val="00A6303D"/>
    <w:rsid w:val="00A634E4"/>
    <w:rsid w:val="00A6394A"/>
    <w:rsid w:val="00A63B89"/>
    <w:rsid w:val="00A64FEB"/>
    <w:rsid w:val="00A67415"/>
    <w:rsid w:val="00A67802"/>
    <w:rsid w:val="00A67B3F"/>
    <w:rsid w:val="00A67D18"/>
    <w:rsid w:val="00A70D63"/>
    <w:rsid w:val="00A70DD7"/>
    <w:rsid w:val="00A71370"/>
    <w:rsid w:val="00A719BD"/>
    <w:rsid w:val="00A71AF5"/>
    <w:rsid w:val="00A72586"/>
    <w:rsid w:val="00A72732"/>
    <w:rsid w:val="00A72C89"/>
    <w:rsid w:val="00A72CF7"/>
    <w:rsid w:val="00A73111"/>
    <w:rsid w:val="00A735D0"/>
    <w:rsid w:val="00A739BA"/>
    <w:rsid w:val="00A745BB"/>
    <w:rsid w:val="00A75B03"/>
    <w:rsid w:val="00A75DC0"/>
    <w:rsid w:val="00A764C6"/>
    <w:rsid w:val="00A767E3"/>
    <w:rsid w:val="00A76855"/>
    <w:rsid w:val="00A7713F"/>
    <w:rsid w:val="00A771A1"/>
    <w:rsid w:val="00A772EB"/>
    <w:rsid w:val="00A775F0"/>
    <w:rsid w:val="00A776DE"/>
    <w:rsid w:val="00A82486"/>
    <w:rsid w:val="00A824A7"/>
    <w:rsid w:val="00A826C0"/>
    <w:rsid w:val="00A826CE"/>
    <w:rsid w:val="00A827D2"/>
    <w:rsid w:val="00A82EA0"/>
    <w:rsid w:val="00A832F3"/>
    <w:rsid w:val="00A836D9"/>
    <w:rsid w:val="00A83A2E"/>
    <w:rsid w:val="00A83ACC"/>
    <w:rsid w:val="00A83CF7"/>
    <w:rsid w:val="00A83EF8"/>
    <w:rsid w:val="00A844E7"/>
    <w:rsid w:val="00A844E9"/>
    <w:rsid w:val="00A846B4"/>
    <w:rsid w:val="00A86536"/>
    <w:rsid w:val="00A86C7F"/>
    <w:rsid w:val="00A86D83"/>
    <w:rsid w:val="00A900EA"/>
    <w:rsid w:val="00A903AF"/>
    <w:rsid w:val="00A90E1D"/>
    <w:rsid w:val="00A921D5"/>
    <w:rsid w:val="00A923F2"/>
    <w:rsid w:val="00A92568"/>
    <w:rsid w:val="00A92D42"/>
    <w:rsid w:val="00A92E34"/>
    <w:rsid w:val="00A932EE"/>
    <w:rsid w:val="00A9407C"/>
    <w:rsid w:val="00A946B2"/>
    <w:rsid w:val="00A94B66"/>
    <w:rsid w:val="00A95C74"/>
    <w:rsid w:val="00A96082"/>
    <w:rsid w:val="00A9654F"/>
    <w:rsid w:val="00A96D83"/>
    <w:rsid w:val="00A975F6"/>
    <w:rsid w:val="00A97C59"/>
    <w:rsid w:val="00AA0420"/>
    <w:rsid w:val="00AA1151"/>
    <w:rsid w:val="00AA1326"/>
    <w:rsid w:val="00AA1352"/>
    <w:rsid w:val="00AA1AFC"/>
    <w:rsid w:val="00AA273E"/>
    <w:rsid w:val="00AA35D9"/>
    <w:rsid w:val="00AA35EC"/>
    <w:rsid w:val="00AA3848"/>
    <w:rsid w:val="00AA4B18"/>
    <w:rsid w:val="00AA53B3"/>
    <w:rsid w:val="00AA5647"/>
    <w:rsid w:val="00AA5718"/>
    <w:rsid w:val="00AA597E"/>
    <w:rsid w:val="00AA6338"/>
    <w:rsid w:val="00AA682C"/>
    <w:rsid w:val="00AA6927"/>
    <w:rsid w:val="00AA6DE0"/>
    <w:rsid w:val="00AA7954"/>
    <w:rsid w:val="00AB00E5"/>
    <w:rsid w:val="00AB1270"/>
    <w:rsid w:val="00AB1484"/>
    <w:rsid w:val="00AB26B8"/>
    <w:rsid w:val="00AB2CA3"/>
    <w:rsid w:val="00AB34A0"/>
    <w:rsid w:val="00AB3A0A"/>
    <w:rsid w:val="00AB416D"/>
    <w:rsid w:val="00AB4592"/>
    <w:rsid w:val="00AB4608"/>
    <w:rsid w:val="00AB462C"/>
    <w:rsid w:val="00AB4ED1"/>
    <w:rsid w:val="00AB572F"/>
    <w:rsid w:val="00AB5C67"/>
    <w:rsid w:val="00AB5CBD"/>
    <w:rsid w:val="00AB5F6B"/>
    <w:rsid w:val="00AB6C6A"/>
    <w:rsid w:val="00AC0099"/>
    <w:rsid w:val="00AC00BF"/>
    <w:rsid w:val="00AC0686"/>
    <w:rsid w:val="00AC146D"/>
    <w:rsid w:val="00AC18E4"/>
    <w:rsid w:val="00AC1F4D"/>
    <w:rsid w:val="00AC1FB6"/>
    <w:rsid w:val="00AC244E"/>
    <w:rsid w:val="00AC2CC8"/>
    <w:rsid w:val="00AC384F"/>
    <w:rsid w:val="00AC3A4D"/>
    <w:rsid w:val="00AC5276"/>
    <w:rsid w:val="00AC632E"/>
    <w:rsid w:val="00AC6867"/>
    <w:rsid w:val="00AC68A1"/>
    <w:rsid w:val="00AC713A"/>
    <w:rsid w:val="00AC7443"/>
    <w:rsid w:val="00AC7A1B"/>
    <w:rsid w:val="00AC7BFD"/>
    <w:rsid w:val="00AD0280"/>
    <w:rsid w:val="00AD0690"/>
    <w:rsid w:val="00AD0C98"/>
    <w:rsid w:val="00AD0CA0"/>
    <w:rsid w:val="00AD28AD"/>
    <w:rsid w:val="00AD2BAE"/>
    <w:rsid w:val="00AD3A59"/>
    <w:rsid w:val="00AD405F"/>
    <w:rsid w:val="00AD4546"/>
    <w:rsid w:val="00AD4B77"/>
    <w:rsid w:val="00AD4E32"/>
    <w:rsid w:val="00AD6A68"/>
    <w:rsid w:val="00AD6ADB"/>
    <w:rsid w:val="00AD6C02"/>
    <w:rsid w:val="00AD6C52"/>
    <w:rsid w:val="00AD6CA2"/>
    <w:rsid w:val="00AD6FAC"/>
    <w:rsid w:val="00AD7312"/>
    <w:rsid w:val="00AD787F"/>
    <w:rsid w:val="00AD7991"/>
    <w:rsid w:val="00AD7B84"/>
    <w:rsid w:val="00AD7C3B"/>
    <w:rsid w:val="00AE01CA"/>
    <w:rsid w:val="00AE0F1A"/>
    <w:rsid w:val="00AE1286"/>
    <w:rsid w:val="00AE1B8F"/>
    <w:rsid w:val="00AE29AD"/>
    <w:rsid w:val="00AE2B28"/>
    <w:rsid w:val="00AE2E16"/>
    <w:rsid w:val="00AE30FB"/>
    <w:rsid w:val="00AE35B5"/>
    <w:rsid w:val="00AE35D3"/>
    <w:rsid w:val="00AE3CB7"/>
    <w:rsid w:val="00AE42C7"/>
    <w:rsid w:val="00AE4632"/>
    <w:rsid w:val="00AE527E"/>
    <w:rsid w:val="00AE57D5"/>
    <w:rsid w:val="00AE6460"/>
    <w:rsid w:val="00AE6546"/>
    <w:rsid w:val="00AE6BF9"/>
    <w:rsid w:val="00AE6EA3"/>
    <w:rsid w:val="00AE732E"/>
    <w:rsid w:val="00AE7402"/>
    <w:rsid w:val="00AE745F"/>
    <w:rsid w:val="00AE79CD"/>
    <w:rsid w:val="00AF016F"/>
    <w:rsid w:val="00AF085C"/>
    <w:rsid w:val="00AF115E"/>
    <w:rsid w:val="00AF1376"/>
    <w:rsid w:val="00AF1965"/>
    <w:rsid w:val="00AF1ED3"/>
    <w:rsid w:val="00AF1EE8"/>
    <w:rsid w:val="00AF2487"/>
    <w:rsid w:val="00AF3F54"/>
    <w:rsid w:val="00AF4072"/>
    <w:rsid w:val="00AF4156"/>
    <w:rsid w:val="00AF4C9B"/>
    <w:rsid w:val="00AF51DA"/>
    <w:rsid w:val="00AF58EF"/>
    <w:rsid w:val="00AF5D62"/>
    <w:rsid w:val="00AF61E0"/>
    <w:rsid w:val="00AF666E"/>
    <w:rsid w:val="00AF6E17"/>
    <w:rsid w:val="00AF7492"/>
    <w:rsid w:val="00AF76C3"/>
    <w:rsid w:val="00AF7A79"/>
    <w:rsid w:val="00AF7BF1"/>
    <w:rsid w:val="00B00115"/>
    <w:rsid w:val="00B00A89"/>
    <w:rsid w:val="00B00E1E"/>
    <w:rsid w:val="00B00E8C"/>
    <w:rsid w:val="00B014B1"/>
    <w:rsid w:val="00B01A0F"/>
    <w:rsid w:val="00B01F37"/>
    <w:rsid w:val="00B02507"/>
    <w:rsid w:val="00B02900"/>
    <w:rsid w:val="00B02A69"/>
    <w:rsid w:val="00B041E2"/>
    <w:rsid w:val="00B04699"/>
    <w:rsid w:val="00B04B7A"/>
    <w:rsid w:val="00B04BAA"/>
    <w:rsid w:val="00B055EA"/>
    <w:rsid w:val="00B06058"/>
    <w:rsid w:val="00B0668E"/>
    <w:rsid w:val="00B076AD"/>
    <w:rsid w:val="00B07EE3"/>
    <w:rsid w:val="00B07EE6"/>
    <w:rsid w:val="00B07F09"/>
    <w:rsid w:val="00B10178"/>
    <w:rsid w:val="00B1027B"/>
    <w:rsid w:val="00B102EE"/>
    <w:rsid w:val="00B103C2"/>
    <w:rsid w:val="00B108E3"/>
    <w:rsid w:val="00B10907"/>
    <w:rsid w:val="00B11374"/>
    <w:rsid w:val="00B120D9"/>
    <w:rsid w:val="00B122C3"/>
    <w:rsid w:val="00B1305F"/>
    <w:rsid w:val="00B132B9"/>
    <w:rsid w:val="00B145AF"/>
    <w:rsid w:val="00B14B0B"/>
    <w:rsid w:val="00B14E33"/>
    <w:rsid w:val="00B15764"/>
    <w:rsid w:val="00B16AA5"/>
    <w:rsid w:val="00B17331"/>
    <w:rsid w:val="00B17768"/>
    <w:rsid w:val="00B1781B"/>
    <w:rsid w:val="00B20512"/>
    <w:rsid w:val="00B210A3"/>
    <w:rsid w:val="00B225EF"/>
    <w:rsid w:val="00B2416D"/>
    <w:rsid w:val="00B24653"/>
    <w:rsid w:val="00B24DE2"/>
    <w:rsid w:val="00B24EE2"/>
    <w:rsid w:val="00B254AF"/>
    <w:rsid w:val="00B25981"/>
    <w:rsid w:val="00B26470"/>
    <w:rsid w:val="00B26759"/>
    <w:rsid w:val="00B26B9F"/>
    <w:rsid w:val="00B273F4"/>
    <w:rsid w:val="00B27A14"/>
    <w:rsid w:val="00B30279"/>
    <w:rsid w:val="00B308EB"/>
    <w:rsid w:val="00B3174E"/>
    <w:rsid w:val="00B33333"/>
    <w:rsid w:val="00B342D9"/>
    <w:rsid w:val="00B34326"/>
    <w:rsid w:val="00B34805"/>
    <w:rsid w:val="00B34B1A"/>
    <w:rsid w:val="00B34D17"/>
    <w:rsid w:val="00B35093"/>
    <w:rsid w:val="00B356F8"/>
    <w:rsid w:val="00B377A9"/>
    <w:rsid w:val="00B37B92"/>
    <w:rsid w:val="00B37C3E"/>
    <w:rsid w:val="00B4081E"/>
    <w:rsid w:val="00B40CF2"/>
    <w:rsid w:val="00B40E90"/>
    <w:rsid w:val="00B413B1"/>
    <w:rsid w:val="00B41702"/>
    <w:rsid w:val="00B41904"/>
    <w:rsid w:val="00B4193C"/>
    <w:rsid w:val="00B429CF"/>
    <w:rsid w:val="00B44564"/>
    <w:rsid w:val="00B44644"/>
    <w:rsid w:val="00B44B15"/>
    <w:rsid w:val="00B45E14"/>
    <w:rsid w:val="00B46233"/>
    <w:rsid w:val="00B463EC"/>
    <w:rsid w:val="00B479E6"/>
    <w:rsid w:val="00B506DB"/>
    <w:rsid w:val="00B51C8D"/>
    <w:rsid w:val="00B53221"/>
    <w:rsid w:val="00B5354F"/>
    <w:rsid w:val="00B5355C"/>
    <w:rsid w:val="00B5364E"/>
    <w:rsid w:val="00B536DB"/>
    <w:rsid w:val="00B539FD"/>
    <w:rsid w:val="00B543A6"/>
    <w:rsid w:val="00B54791"/>
    <w:rsid w:val="00B552E4"/>
    <w:rsid w:val="00B5587A"/>
    <w:rsid w:val="00B55A8C"/>
    <w:rsid w:val="00B55AA2"/>
    <w:rsid w:val="00B55E9C"/>
    <w:rsid w:val="00B56019"/>
    <w:rsid w:val="00B56446"/>
    <w:rsid w:val="00B567CC"/>
    <w:rsid w:val="00B56A29"/>
    <w:rsid w:val="00B56AAA"/>
    <w:rsid w:val="00B571C1"/>
    <w:rsid w:val="00B57DFC"/>
    <w:rsid w:val="00B57F05"/>
    <w:rsid w:val="00B6014A"/>
    <w:rsid w:val="00B60219"/>
    <w:rsid w:val="00B60DF2"/>
    <w:rsid w:val="00B61189"/>
    <w:rsid w:val="00B612D7"/>
    <w:rsid w:val="00B6144F"/>
    <w:rsid w:val="00B61ABF"/>
    <w:rsid w:val="00B61BE0"/>
    <w:rsid w:val="00B61C4F"/>
    <w:rsid w:val="00B6205B"/>
    <w:rsid w:val="00B62386"/>
    <w:rsid w:val="00B6293B"/>
    <w:rsid w:val="00B62CAB"/>
    <w:rsid w:val="00B62DA0"/>
    <w:rsid w:val="00B6354A"/>
    <w:rsid w:val="00B64D27"/>
    <w:rsid w:val="00B64E86"/>
    <w:rsid w:val="00B66400"/>
    <w:rsid w:val="00B66598"/>
    <w:rsid w:val="00B66751"/>
    <w:rsid w:val="00B6701C"/>
    <w:rsid w:val="00B67026"/>
    <w:rsid w:val="00B673AD"/>
    <w:rsid w:val="00B67A71"/>
    <w:rsid w:val="00B67DAA"/>
    <w:rsid w:val="00B67E54"/>
    <w:rsid w:val="00B700C9"/>
    <w:rsid w:val="00B7094F"/>
    <w:rsid w:val="00B7118F"/>
    <w:rsid w:val="00B71333"/>
    <w:rsid w:val="00B714B1"/>
    <w:rsid w:val="00B716EE"/>
    <w:rsid w:val="00B7190F"/>
    <w:rsid w:val="00B7202C"/>
    <w:rsid w:val="00B72280"/>
    <w:rsid w:val="00B727A9"/>
    <w:rsid w:val="00B7480D"/>
    <w:rsid w:val="00B74EA0"/>
    <w:rsid w:val="00B758FE"/>
    <w:rsid w:val="00B75DEB"/>
    <w:rsid w:val="00B7662B"/>
    <w:rsid w:val="00B76D97"/>
    <w:rsid w:val="00B76F47"/>
    <w:rsid w:val="00B76FDC"/>
    <w:rsid w:val="00B7724D"/>
    <w:rsid w:val="00B77254"/>
    <w:rsid w:val="00B77890"/>
    <w:rsid w:val="00B778A0"/>
    <w:rsid w:val="00B80BE5"/>
    <w:rsid w:val="00B8122D"/>
    <w:rsid w:val="00B8211D"/>
    <w:rsid w:val="00B8249B"/>
    <w:rsid w:val="00B824D0"/>
    <w:rsid w:val="00B824EA"/>
    <w:rsid w:val="00B827F4"/>
    <w:rsid w:val="00B82C04"/>
    <w:rsid w:val="00B831C1"/>
    <w:rsid w:val="00B834BF"/>
    <w:rsid w:val="00B83C18"/>
    <w:rsid w:val="00B83E63"/>
    <w:rsid w:val="00B841E9"/>
    <w:rsid w:val="00B849E0"/>
    <w:rsid w:val="00B8554B"/>
    <w:rsid w:val="00B85709"/>
    <w:rsid w:val="00B85A6F"/>
    <w:rsid w:val="00B85A84"/>
    <w:rsid w:val="00B85C60"/>
    <w:rsid w:val="00B85E33"/>
    <w:rsid w:val="00B861FA"/>
    <w:rsid w:val="00B870C4"/>
    <w:rsid w:val="00B872EE"/>
    <w:rsid w:val="00B87CFD"/>
    <w:rsid w:val="00B904E0"/>
    <w:rsid w:val="00B91D8C"/>
    <w:rsid w:val="00B921AF"/>
    <w:rsid w:val="00B92660"/>
    <w:rsid w:val="00B92BC3"/>
    <w:rsid w:val="00B92CB1"/>
    <w:rsid w:val="00B9301B"/>
    <w:rsid w:val="00B93FDF"/>
    <w:rsid w:val="00B943ED"/>
    <w:rsid w:val="00B948F5"/>
    <w:rsid w:val="00B94908"/>
    <w:rsid w:val="00B94FD4"/>
    <w:rsid w:val="00B951F0"/>
    <w:rsid w:val="00B95667"/>
    <w:rsid w:val="00B95FBC"/>
    <w:rsid w:val="00B963EC"/>
    <w:rsid w:val="00B96AD3"/>
    <w:rsid w:val="00B971C9"/>
    <w:rsid w:val="00B97815"/>
    <w:rsid w:val="00B97921"/>
    <w:rsid w:val="00B97AAE"/>
    <w:rsid w:val="00BA076D"/>
    <w:rsid w:val="00BA0C3C"/>
    <w:rsid w:val="00BA1EF7"/>
    <w:rsid w:val="00BA30FD"/>
    <w:rsid w:val="00BA3D59"/>
    <w:rsid w:val="00BA499A"/>
    <w:rsid w:val="00BA5A3F"/>
    <w:rsid w:val="00BA5A48"/>
    <w:rsid w:val="00BA5D9C"/>
    <w:rsid w:val="00BA5EC3"/>
    <w:rsid w:val="00BA77CE"/>
    <w:rsid w:val="00BA7E10"/>
    <w:rsid w:val="00BB0245"/>
    <w:rsid w:val="00BB0BF6"/>
    <w:rsid w:val="00BB2796"/>
    <w:rsid w:val="00BB27C2"/>
    <w:rsid w:val="00BB2DCA"/>
    <w:rsid w:val="00BB4015"/>
    <w:rsid w:val="00BB4FA3"/>
    <w:rsid w:val="00BB532A"/>
    <w:rsid w:val="00BB550A"/>
    <w:rsid w:val="00BB68B5"/>
    <w:rsid w:val="00BB68DB"/>
    <w:rsid w:val="00BB6BC8"/>
    <w:rsid w:val="00BB7457"/>
    <w:rsid w:val="00BB7491"/>
    <w:rsid w:val="00BB7ED6"/>
    <w:rsid w:val="00BB7F3C"/>
    <w:rsid w:val="00BC045D"/>
    <w:rsid w:val="00BC0A81"/>
    <w:rsid w:val="00BC10D5"/>
    <w:rsid w:val="00BC145E"/>
    <w:rsid w:val="00BC1AC4"/>
    <w:rsid w:val="00BC1E38"/>
    <w:rsid w:val="00BC1E54"/>
    <w:rsid w:val="00BC253D"/>
    <w:rsid w:val="00BC292F"/>
    <w:rsid w:val="00BC3499"/>
    <w:rsid w:val="00BC34AE"/>
    <w:rsid w:val="00BC37D1"/>
    <w:rsid w:val="00BC486D"/>
    <w:rsid w:val="00BC4D70"/>
    <w:rsid w:val="00BC507C"/>
    <w:rsid w:val="00BC521F"/>
    <w:rsid w:val="00BC53A6"/>
    <w:rsid w:val="00BC56D6"/>
    <w:rsid w:val="00BC642E"/>
    <w:rsid w:val="00BC6535"/>
    <w:rsid w:val="00BC680C"/>
    <w:rsid w:val="00BC6B8E"/>
    <w:rsid w:val="00BC7175"/>
    <w:rsid w:val="00BC734F"/>
    <w:rsid w:val="00BD01CB"/>
    <w:rsid w:val="00BD075B"/>
    <w:rsid w:val="00BD0F67"/>
    <w:rsid w:val="00BD1C13"/>
    <w:rsid w:val="00BD27A3"/>
    <w:rsid w:val="00BD29F1"/>
    <w:rsid w:val="00BD2EBF"/>
    <w:rsid w:val="00BD30F5"/>
    <w:rsid w:val="00BD40BC"/>
    <w:rsid w:val="00BD40DB"/>
    <w:rsid w:val="00BD516A"/>
    <w:rsid w:val="00BD5216"/>
    <w:rsid w:val="00BD5B44"/>
    <w:rsid w:val="00BD5F30"/>
    <w:rsid w:val="00BD5F41"/>
    <w:rsid w:val="00BD67A3"/>
    <w:rsid w:val="00BD6C5F"/>
    <w:rsid w:val="00BD6D49"/>
    <w:rsid w:val="00BD790C"/>
    <w:rsid w:val="00BD7BBB"/>
    <w:rsid w:val="00BD7C91"/>
    <w:rsid w:val="00BE0764"/>
    <w:rsid w:val="00BE08C2"/>
    <w:rsid w:val="00BE19A8"/>
    <w:rsid w:val="00BE1D67"/>
    <w:rsid w:val="00BE1F55"/>
    <w:rsid w:val="00BE21E8"/>
    <w:rsid w:val="00BE230B"/>
    <w:rsid w:val="00BE2763"/>
    <w:rsid w:val="00BE2AAC"/>
    <w:rsid w:val="00BE4CF4"/>
    <w:rsid w:val="00BE4E51"/>
    <w:rsid w:val="00BE520A"/>
    <w:rsid w:val="00BE57C3"/>
    <w:rsid w:val="00BE6EC1"/>
    <w:rsid w:val="00BE77A6"/>
    <w:rsid w:val="00BE7C8D"/>
    <w:rsid w:val="00BF0BF0"/>
    <w:rsid w:val="00BF103C"/>
    <w:rsid w:val="00BF14E6"/>
    <w:rsid w:val="00BF17CE"/>
    <w:rsid w:val="00BF33EE"/>
    <w:rsid w:val="00BF3793"/>
    <w:rsid w:val="00BF382E"/>
    <w:rsid w:val="00BF38D7"/>
    <w:rsid w:val="00BF391F"/>
    <w:rsid w:val="00BF3C7D"/>
    <w:rsid w:val="00BF3CA3"/>
    <w:rsid w:val="00BF3EA7"/>
    <w:rsid w:val="00BF3EE0"/>
    <w:rsid w:val="00BF47CE"/>
    <w:rsid w:val="00BF48C0"/>
    <w:rsid w:val="00BF4F7F"/>
    <w:rsid w:val="00BF51EF"/>
    <w:rsid w:val="00BF54AB"/>
    <w:rsid w:val="00BF61FB"/>
    <w:rsid w:val="00BF654A"/>
    <w:rsid w:val="00BF7422"/>
    <w:rsid w:val="00BF7D70"/>
    <w:rsid w:val="00BF7F27"/>
    <w:rsid w:val="00C0048A"/>
    <w:rsid w:val="00C00B3C"/>
    <w:rsid w:val="00C016E0"/>
    <w:rsid w:val="00C02845"/>
    <w:rsid w:val="00C02B07"/>
    <w:rsid w:val="00C032C2"/>
    <w:rsid w:val="00C03A22"/>
    <w:rsid w:val="00C03B09"/>
    <w:rsid w:val="00C03BDA"/>
    <w:rsid w:val="00C0511A"/>
    <w:rsid w:val="00C05993"/>
    <w:rsid w:val="00C0615F"/>
    <w:rsid w:val="00C06E79"/>
    <w:rsid w:val="00C07079"/>
    <w:rsid w:val="00C073D1"/>
    <w:rsid w:val="00C102B7"/>
    <w:rsid w:val="00C109BF"/>
    <w:rsid w:val="00C10EB6"/>
    <w:rsid w:val="00C11EC1"/>
    <w:rsid w:val="00C12218"/>
    <w:rsid w:val="00C12ECC"/>
    <w:rsid w:val="00C131C8"/>
    <w:rsid w:val="00C142D6"/>
    <w:rsid w:val="00C149E9"/>
    <w:rsid w:val="00C1524C"/>
    <w:rsid w:val="00C15630"/>
    <w:rsid w:val="00C15719"/>
    <w:rsid w:val="00C15A89"/>
    <w:rsid w:val="00C15C2D"/>
    <w:rsid w:val="00C17DD7"/>
    <w:rsid w:val="00C20A6D"/>
    <w:rsid w:val="00C21393"/>
    <w:rsid w:val="00C2144D"/>
    <w:rsid w:val="00C21AE6"/>
    <w:rsid w:val="00C21F13"/>
    <w:rsid w:val="00C220D7"/>
    <w:rsid w:val="00C22247"/>
    <w:rsid w:val="00C2245C"/>
    <w:rsid w:val="00C22549"/>
    <w:rsid w:val="00C22ACD"/>
    <w:rsid w:val="00C23859"/>
    <w:rsid w:val="00C23A08"/>
    <w:rsid w:val="00C242F5"/>
    <w:rsid w:val="00C2447F"/>
    <w:rsid w:val="00C25363"/>
    <w:rsid w:val="00C25434"/>
    <w:rsid w:val="00C255F9"/>
    <w:rsid w:val="00C25931"/>
    <w:rsid w:val="00C25D8C"/>
    <w:rsid w:val="00C26704"/>
    <w:rsid w:val="00C26BB4"/>
    <w:rsid w:val="00C26CDD"/>
    <w:rsid w:val="00C26D8F"/>
    <w:rsid w:val="00C270B7"/>
    <w:rsid w:val="00C2723C"/>
    <w:rsid w:val="00C274BF"/>
    <w:rsid w:val="00C27A2A"/>
    <w:rsid w:val="00C27E98"/>
    <w:rsid w:val="00C27ED9"/>
    <w:rsid w:val="00C315DA"/>
    <w:rsid w:val="00C31CE3"/>
    <w:rsid w:val="00C327F1"/>
    <w:rsid w:val="00C32A3B"/>
    <w:rsid w:val="00C33534"/>
    <w:rsid w:val="00C33F7C"/>
    <w:rsid w:val="00C346AD"/>
    <w:rsid w:val="00C34F53"/>
    <w:rsid w:val="00C355F3"/>
    <w:rsid w:val="00C373BE"/>
    <w:rsid w:val="00C37630"/>
    <w:rsid w:val="00C37714"/>
    <w:rsid w:val="00C37E54"/>
    <w:rsid w:val="00C401CB"/>
    <w:rsid w:val="00C40474"/>
    <w:rsid w:val="00C405BB"/>
    <w:rsid w:val="00C409B8"/>
    <w:rsid w:val="00C40C4C"/>
    <w:rsid w:val="00C4146B"/>
    <w:rsid w:val="00C4170A"/>
    <w:rsid w:val="00C423D3"/>
    <w:rsid w:val="00C42A6E"/>
    <w:rsid w:val="00C42C1B"/>
    <w:rsid w:val="00C4400F"/>
    <w:rsid w:val="00C44D47"/>
    <w:rsid w:val="00C458F5"/>
    <w:rsid w:val="00C45942"/>
    <w:rsid w:val="00C45A74"/>
    <w:rsid w:val="00C4619F"/>
    <w:rsid w:val="00C46427"/>
    <w:rsid w:val="00C46E0F"/>
    <w:rsid w:val="00C47012"/>
    <w:rsid w:val="00C47473"/>
    <w:rsid w:val="00C47E3B"/>
    <w:rsid w:val="00C505DF"/>
    <w:rsid w:val="00C508B0"/>
    <w:rsid w:val="00C50A9A"/>
    <w:rsid w:val="00C5267E"/>
    <w:rsid w:val="00C526DD"/>
    <w:rsid w:val="00C52C04"/>
    <w:rsid w:val="00C52C74"/>
    <w:rsid w:val="00C52E02"/>
    <w:rsid w:val="00C53237"/>
    <w:rsid w:val="00C545DB"/>
    <w:rsid w:val="00C54BB4"/>
    <w:rsid w:val="00C55E72"/>
    <w:rsid w:val="00C563E1"/>
    <w:rsid w:val="00C56776"/>
    <w:rsid w:val="00C57A0A"/>
    <w:rsid w:val="00C57A29"/>
    <w:rsid w:val="00C60521"/>
    <w:rsid w:val="00C60B13"/>
    <w:rsid w:val="00C614AB"/>
    <w:rsid w:val="00C61503"/>
    <w:rsid w:val="00C61995"/>
    <w:rsid w:val="00C61A5A"/>
    <w:rsid w:val="00C61F4C"/>
    <w:rsid w:val="00C64555"/>
    <w:rsid w:val="00C64892"/>
    <w:rsid w:val="00C65446"/>
    <w:rsid w:val="00C65992"/>
    <w:rsid w:val="00C65E06"/>
    <w:rsid w:val="00C66521"/>
    <w:rsid w:val="00C6660A"/>
    <w:rsid w:val="00C66653"/>
    <w:rsid w:val="00C6678F"/>
    <w:rsid w:val="00C66868"/>
    <w:rsid w:val="00C67333"/>
    <w:rsid w:val="00C67537"/>
    <w:rsid w:val="00C67583"/>
    <w:rsid w:val="00C67982"/>
    <w:rsid w:val="00C70617"/>
    <w:rsid w:val="00C70662"/>
    <w:rsid w:val="00C70C3B"/>
    <w:rsid w:val="00C70D38"/>
    <w:rsid w:val="00C71602"/>
    <w:rsid w:val="00C71980"/>
    <w:rsid w:val="00C71E2D"/>
    <w:rsid w:val="00C71E87"/>
    <w:rsid w:val="00C71F9E"/>
    <w:rsid w:val="00C72A9E"/>
    <w:rsid w:val="00C72E4E"/>
    <w:rsid w:val="00C72F3C"/>
    <w:rsid w:val="00C73113"/>
    <w:rsid w:val="00C7327F"/>
    <w:rsid w:val="00C734A4"/>
    <w:rsid w:val="00C745CA"/>
    <w:rsid w:val="00C746AF"/>
    <w:rsid w:val="00C74778"/>
    <w:rsid w:val="00C74FDD"/>
    <w:rsid w:val="00C75397"/>
    <w:rsid w:val="00C759A9"/>
    <w:rsid w:val="00C75F9D"/>
    <w:rsid w:val="00C7645D"/>
    <w:rsid w:val="00C765A7"/>
    <w:rsid w:val="00C76632"/>
    <w:rsid w:val="00C7748B"/>
    <w:rsid w:val="00C80DCC"/>
    <w:rsid w:val="00C80E0E"/>
    <w:rsid w:val="00C81419"/>
    <w:rsid w:val="00C817BE"/>
    <w:rsid w:val="00C81E6E"/>
    <w:rsid w:val="00C83A61"/>
    <w:rsid w:val="00C84B96"/>
    <w:rsid w:val="00C84BE9"/>
    <w:rsid w:val="00C84F47"/>
    <w:rsid w:val="00C85014"/>
    <w:rsid w:val="00C858D1"/>
    <w:rsid w:val="00C85DB7"/>
    <w:rsid w:val="00C869A5"/>
    <w:rsid w:val="00C87271"/>
    <w:rsid w:val="00C87AE8"/>
    <w:rsid w:val="00C87CF1"/>
    <w:rsid w:val="00C90426"/>
    <w:rsid w:val="00C911AD"/>
    <w:rsid w:val="00C91913"/>
    <w:rsid w:val="00C91DB4"/>
    <w:rsid w:val="00C929B8"/>
    <w:rsid w:val="00C92A51"/>
    <w:rsid w:val="00C92A97"/>
    <w:rsid w:val="00C93B86"/>
    <w:rsid w:val="00C95033"/>
    <w:rsid w:val="00C95BBB"/>
    <w:rsid w:val="00C96712"/>
    <w:rsid w:val="00C97810"/>
    <w:rsid w:val="00CA0C0C"/>
    <w:rsid w:val="00CA0EA5"/>
    <w:rsid w:val="00CA114B"/>
    <w:rsid w:val="00CA1581"/>
    <w:rsid w:val="00CA1CC4"/>
    <w:rsid w:val="00CA282B"/>
    <w:rsid w:val="00CA2F3A"/>
    <w:rsid w:val="00CA31EE"/>
    <w:rsid w:val="00CA3D99"/>
    <w:rsid w:val="00CA3E67"/>
    <w:rsid w:val="00CA3FD4"/>
    <w:rsid w:val="00CA4B0E"/>
    <w:rsid w:val="00CA4BAB"/>
    <w:rsid w:val="00CA53AA"/>
    <w:rsid w:val="00CA55FA"/>
    <w:rsid w:val="00CA665D"/>
    <w:rsid w:val="00CA6E98"/>
    <w:rsid w:val="00CA772C"/>
    <w:rsid w:val="00CA7AD7"/>
    <w:rsid w:val="00CA7DA7"/>
    <w:rsid w:val="00CB0442"/>
    <w:rsid w:val="00CB0EE3"/>
    <w:rsid w:val="00CB17C2"/>
    <w:rsid w:val="00CB18C9"/>
    <w:rsid w:val="00CB199B"/>
    <w:rsid w:val="00CB1DC8"/>
    <w:rsid w:val="00CB3AC0"/>
    <w:rsid w:val="00CB3B0B"/>
    <w:rsid w:val="00CB3EBA"/>
    <w:rsid w:val="00CB4624"/>
    <w:rsid w:val="00CB4664"/>
    <w:rsid w:val="00CB4D8A"/>
    <w:rsid w:val="00CB53C1"/>
    <w:rsid w:val="00CB58B7"/>
    <w:rsid w:val="00CB5BCB"/>
    <w:rsid w:val="00CB5C71"/>
    <w:rsid w:val="00CB73E9"/>
    <w:rsid w:val="00CB76E9"/>
    <w:rsid w:val="00CC06E7"/>
    <w:rsid w:val="00CC13CC"/>
    <w:rsid w:val="00CC14A3"/>
    <w:rsid w:val="00CC192C"/>
    <w:rsid w:val="00CC1935"/>
    <w:rsid w:val="00CC34BF"/>
    <w:rsid w:val="00CC4741"/>
    <w:rsid w:val="00CC546C"/>
    <w:rsid w:val="00CC772F"/>
    <w:rsid w:val="00CC778B"/>
    <w:rsid w:val="00CC7E5A"/>
    <w:rsid w:val="00CD0079"/>
    <w:rsid w:val="00CD0C74"/>
    <w:rsid w:val="00CD0E08"/>
    <w:rsid w:val="00CD1799"/>
    <w:rsid w:val="00CD1DFE"/>
    <w:rsid w:val="00CD20F4"/>
    <w:rsid w:val="00CD23DE"/>
    <w:rsid w:val="00CD3580"/>
    <w:rsid w:val="00CD3595"/>
    <w:rsid w:val="00CD3BCA"/>
    <w:rsid w:val="00CD3E4D"/>
    <w:rsid w:val="00CD4294"/>
    <w:rsid w:val="00CD4AA3"/>
    <w:rsid w:val="00CD4B3D"/>
    <w:rsid w:val="00CD4FF4"/>
    <w:rsid w:val="00CD5207"/>
    <w:rsid w:val="00CD65DD"/>
    <w:rsid w:val="00CD66BB"/>
    <w:rsid w:val="00CD66D5"/>
    <w:rsid w:val="00CD79D3"/>
    <w:rsid w:val="00CD7CC2"/>
    <w:rsid w:val="00CE0276"/>
    <w:rsid w:val="00CE2129"/>
    <w:rsid w:val="00CE2FE1"/>
    <w:rsid w:val="00CE321C"/>
    <w:rsid w:val="00CE3310"/>
    <w:rsid w:val="00CE3F52"/>
    <w:rsid w:val="00CE4836"/>
    <w:rsid w:val="00CE4F5B"/>
    <w:rsid w:val="00CE526C"/>
    <w:rsid w:val="00CE63A4"/>
    <w:rsid w:val="00CE7A36"/>
    <w:rsid w:val="00CF05BA"/>
    <w:rsid w:val="00CF06B8"/>
    <w:rsid w:val="00CF0E54"/>
    <w:rsid w:val="00CF0EFF"/>
    <w:rsid w:val="00CF10E3"/>
    <w:rsid w:val="00CF14F6"/>
    <w:rsid w:val="00CF1567"/>
    <w:rsid w:val="00CF1F08"/>
    <w:rsid w:val="00CF2C71"/>
    <w:rsid w:val="00CF2DCA"/>
    <w:rsid w:val="00CF3743"/>
    <w:rsid w:val="00CF39A7"/>
    <w:rsid w:val="00CF39D2"/>
    <w:rsid w:val="00CF543F"/>
    <w:rsid w:val="00CF566E"/>
    <w:rsid w:val="00CF5912"/>
    <w:rsid w:val="00CF59AF"/>
    <w:rsid w:val="00CF5AC9"/>
    <w:rsid w:val="00CF5B38"/>
    <w:rsid w:val="00CF5F07"/>
    <w:rsid w:val="00CF6383"/>
    <w:rsid w:val="00CF73FF"/>
    <w:rsid w:val="00CF74C9"/>
    <w:rsid w:val="00CF7750"/>
    <w:rsid w:val="00CF7D6C"/>
    <w:rsid w:val="00CF7FBC"/>
    <w:rsid w:val="00D001F8"/>
    <w:rsid w:val="00D002EB"/>
    <w:rsid w:val="00D00C08"/>
    <w:rsid w:val="00D00E03"/>
    <w:rsid w:val="00D015AF"/>
    <w:rsid w:val="00D02ACC"/>
    <w:rsid w:val="00D02F99"/>
    <w:rsid w:val="00D03D2C"/>
    <w:rsid w:val="00D04851"/>
    <w:rsid w:val="00D0492B"/>
    <w:rsid w:val="00D05C44"/>
    <w:rsid w:val="00D0645A"/>
    <w:rsid w:val="00D0650C"/>
    <w:rsid w:val="00D0651D"/>
    <w:rsid w:val="00D071A9"/>
    <w:rsid w:val="00D0746B"/>
    <w:rsid w:val="00D07558"/>
    <w:rsid w:val="00D07BA8"/>
    <w:rsid w:val="00D1043A"/>
    <w:rsid w:val="00D1140E"/>
    <w:rsid w:val="00D12302"/>
    <w:rsid w:val="00D1387E"/>
    <w:rsid w:val="00D139C3"/>
    <w:rsid w:val="00D15505"/>
    <w:rsid w:val="00D1552C"/>
    <w:rsid w:val="00D15A28"/>
    <w:rsid w:val="00D15AE1"/>
    <w:rsid w:val="00D15BD8"/>
    <w:rsid w:val="00D17271"/>
    <w:rsid w:val="00D172C8"/>
    <w:rsid w:val="00D179CE"/>
    <w:rsid w:val="00D17D7F"/>
    <w:rsid w:val="00D17FBE"/>
    <w:rsid w:val="00D203F0"/>
    <w:rsid w:val="00D20F9D"/>
    <w:rsid w:val="00D215A5"/>
    <w:rsid w:val="00D21705"/>
    <w:rsid w:val="00D21724"/>
    <w:rsid w:val="00D22156"/>
    <w:rsid w:val="00D221F0"/>
    <w:rsid w:val="00D22FBE"/>
    <w:rsid w:val="00D2309E"/>
    <w:rsid w:val="00D23348"/>
    <w:rsid w:val="00D239CB"/>
    <w:rsid w:val="00D23D78"/>
    <w:rsid w:val="00D23E2C"/>
    <w:rsid w:val="00D24207"/>
    <w:rsid w:val="00D247EA"/>
    <w:rsid w:val="00D24FC5"/>
    <w:rsid w:val="00D255BC"/>
    <w:rsid w:val="00D258F0"/>
    <w:rsid w:val="00D273DE"/>
    <w:rsid w:val="00D27455"/>
    <w:rsid w:val="00D279F2"/>
    <w:rsid w:val="00D27A1E"/>
    <w:rsid w:val="00D27FFE"/>
    <w:rsid w:val="00D30097"/>
    <w:rsid w:val="00D3121D"/>
    <w:rsid w:val="00D31696"/>
    <w:rsid w:val="00D31EA7"/>
    <w:rsid w:val="00D322A2"/>
    <w:rsid w:val="00D33CFB"/>
    <w:rsid w:val="00D33D90"/>
    <w:rsid w:val="00D345CF"/>
    <w:rsid w:val="00D3484C"/>
    <w:rsid w:val="00D3489C"/>
    <w:rsid w:val="00D353FE"/>
    <w:rsid w:val="00D35B49"/>
    <w:rsid w:val="00D36A7B"/>
    <w:rsid w:val="00D37112"/>
    <w:rsid w:val="00D37124"/>
    <w:rsid w:val="00D37196"/>
    <w:rsid w:val="00D371CE"/>
    <w:rsid w:val="00D4052F"/>
    <w:rsid w:val="00D41101"/>
    <w:rsid w:val="00D4159D"/>
    <w:rsid w:val="00D42483"/>
    <w:rsid w:val="00D43A73"/>
    <w:rsid w:val="00D44140"/>
    <w:rsid w:val="00D44463"/>
    <w:rsid w:val="00D44FB5"/>
    <w:rsid w:val="00D453F6"/>
    <w:rsid w:val="00D4542B"/>
    <w:rsid w:val="00D455DC"/>
    <w:rsid w:val="00D45682"/>
    <w:rsid w:val="00D4716D"/>
    <w:rsid w:val="00D501E8"/>
    <w:rsid w:val="00D5025B"/>
    <w:rsid w:val="00D502DB"/>
    <w:rsid w:val="00D504FC"/>
    <w:rsid w:val="00D50BC0"/>
    <w:rsid w:val="00D50F64"/>
    <w:rsid w:val="00D510C6"/>
    <w:rsid w:val="00D5286C"/>
    <w:rsid w:val="00D528AB"/>
    <w:rsid w:val="00D5304A"/>
    <w:rsid w:val="00D53E0B"/>
    <w:rsid w:val="00D543EA"/>
    <w:rsid w:val="00D546E3"/>
    <w:rsid w:val="00D5588E"/>
    <w:rsid w:val="00D55B72"/>
    <w:rsid w:val="00D56263"/>
    <w:rsid w:val="00D56831"/>
    <w:rsid w:val="00D5687B"/>
    <w:rsid w:val="00D5741B"/>
    <w:rsid w:val="00D57782"/>
    <w:rsid w:val="00D57988"/>
    <w:rsid w:val="00D57EE4"/>
    <w:rsid w:val="00D6017D"/>
    <w:rsid w:val="00D605B7"/>
    <w:rsid w:val="00D60830"/>
    <w:rsid w:val="00D613B5"/>
    <w:rsid w:val="00D6178F"/>
    <w:rsid w:val="00D61D49"/>
    <w:rsid w:val="00D620D0"/>
    <w:rsid w:val="00D636AA"/>
    <w:rsid w:val="00D63A05"/>
    <w:rsid w:val="00D63BC4"/>
    <w:rsid w:val="00D64013"/>
    <w:rsid w:val="00D64981"/>
    <w:rsid w:val="00D64B1D"/>
    <w:rsid w:val="00D65430"/>
    <w:rsid w:val="00D654CF"/>
    <w:rsid w:val="00D65B85"/>
    <w:rsid w:val="00D66A96"/>
    <w:rsid w:val="00D67320"/>
    <w:rsid w:val="00D70B9D"/>
    <w:rsid w:val="00D713E2"/>
    <w:rsid w:val="00D72044"/>
    <w:rsid w:val="00D72856"/>
    <w:rsid w:val="00D73133"/>
    <w:rsid w:val="00D7388F"/>
    <w:rsid w:val="00D73CB2"/>
    <w:rsid w:val="00D73E8A"/>
    <w:rsid w:val="00D74858"/>
    <w:rsid w:val="00D75607"/>
    <w:rsid w:val="00D75F39"/>
    <w:rsid w:val="00D7604F"/>
    <w:rsid w:val="00D76462"/>
    <w:rsid w:val="00D77556"/>
    <w:rsid w:val="00D776F3"/>
    <w:rsid w:val="00D77799"/>
    <w:rsid w:val="00D7788E"/>
    <w:rsid w:val="00D77AC9"/>
    <w:rsid w:val="00D80512"/>
    <w:rsid w:val="00D80A1A"/>
    <w:rsid w:val="00D80C35"/>
    <w:rsid w:val="00D813BC"/>
    <w:rsid w:val="00D81B1C"/>
    <w:rsid w:val="00D825F3"/>
    <w:rsid w:val="00D82903"/>
    <w:rsid w:val="00D83D8D"/>
    <w:rsid w:val="00D83E4C"/>
    <w:rsid w:val="00D84270"/>
    <w:rsid w:val="00D8460C"/>
    <w:rsid w:val="00D8480E"/>
    <w:rsid w:val="00D84A7E"/>
    <w:rsid w:val="00D854AF"/>
    <w:rsid w:val="00D85BB4"/>
    <w:rsid w:val="00D86C37"/>
    <w:rsid w:val="00D86E1E"/>
    <w:rsid w:val="00D8786A"/>
    <w:rsid w:val="00D87AB6"/>
    <w:rsid w:val="00D87B58"/>
    <w:rsid w:val="00D90157"/>
    <w:rsid w:val="00D90379"/>
    <w:rsid w:val="00D903CD"/>
    <w:rsid w:val="00D9051E"/>
    <w:rsid w:val="00D90CDA"/>
    <w:rsid w:val="00D918EB"/>
    <w:rsid w:val="00D9224D"/>
    <w:rsid w:val="00D92264"/>
    <w:rsid w:val="00D926EB"/>
    <w:rsid w:val="00D929D0"/>
    <w:rsid w:val="00D92E76"/>
    <w:rsid w:val="00D936B1"/>
    <w:rsid w:val="00D93A6D"/>
    <w:rsid w:val="00D93BD7"/>
    <w:rsid w:val="00D93DB9"/>
    <w:rsid w:val="00D93DBC"/>
    <w:rsid w:val="00D9411C"/>
    <w:rsid w:val="00D942DE"/>
    <w:rsid w:val="00D947C4"/>
    <w:rsid w:val="00D94BD9"/>
    <w:rsid w:val="00D95569"/>
    <w:rsid w:val="00D957A3"/>
    <w:rsid w:val="00D95B9A"/>
    <w:rsid w:val="00D95C46"/>
    <w:rsid w:val="00D95EA9"/>
    <w:rsid w:val="00D9603E"/>
    <w:rsid w:val="00D961CE"/>
    <w:rsid w:val="00D96BDA"/>
    <w:rsid w:val="00D96DB0"/>
    <w:rsid w:val="00D96EA0"/>
    <w:rsid w:val="00D96F9B"/>
    <w:rsid w:val="00D978D9"/>
    <w:rsid w:val="00D97E3B"/>
    <w:rsid w:val="00DA067B"/>
    <w:rsid w:val="00DA0D5E"/>
    <w:rsid w:val="00DA10E7"/>
    <w:rsid w:val="00DA11A7"/>
    <w:rsid w:val="00DA11DC"/>
    <w:rsid w:val="00DA1A1E"/>
    <w:rsid w:val="00DA1EAC"/>
    <w:rsid w:val="00DA1ECA"/>
    <w:rsid w:val="00DA218D"/>
    <w:rsid w:val="00DA253F"/>
    <w:rsid w:val="00DA3973"/>
    <w:rsid w:val="00DA3C4C"/>
    <w:rsid w:val="00DA4C39"/>
    <w:rsid w:val="00DA54E6"/>
    <w:rsid w:val="00DA57A3"/>
    <w:rsid w:val="00DA5AA6"/>
    <w:rsid w:val="00DA609B"/>
    <w:rsid w:val="00DA67A5"/>
    <w:rsid w:val="00DA7248"/>
    <w:rsid w:val="00DA732A"/>
    <w:rsid w:val="00DA797A"/>
    <w:rsid w:val="00DB004A"/>
    <w:rsid w:val="00DB046D"/>
    <w:rsid w:val="00DB05F5"/>
    <w:rsid w:val="00DB0E24"/>
    <w:rsid w:val="00DB0FDB"/>
    <w:rsid w:val="00DB271B"/>
    <w:rsid w:val="00DB2887"/>
    <w:rsid w:val="00DB3550"/>
    <w:rsid w:val="00DB467D"/>
    <w:rsid w:val="00DB526B"/>
    <w:rsid w:val="00DB5700"/>
    <w:rsid w:val="00DB5878"/>
    <w:rsid w:val="00DB5D5A"/>
    <w:rsid w:val="00DB64B6"/>
    <w:rsid w:val="00DB6C4B"/>
    <w:rsid w:val="00DB7642"/>
    <w:rsid w:val="00DB7712"/>
    <w:rsid w:val="00DB776E"/>
    <w:rsid w:val="00DB7968"/>
    <w:rsid w:val="00DC001C"/>
    <w:rsid w:val="00DC0368"/>
    <w:rsid w:val="00DC17C0"/>
    <w:rsid w:val="00DC1936"/>
    <w:rsid w:val="00DC1B28"/>
    <w:rsid w:val="00DC203B"/>
    <w:rsid w:val="00DC2CA2"/>
    <w:rsid w:val="00DC3181"/>
    <w:rsid w:val="00DC3637"/>
    <w:rsid w:val="00DC4163"/>
    <w:rsid w:val="00DC44AB"/>
    <w:rsid w:val="00DC456E"/>
    <w:rsid w:val="00DC5398"/>
    <w:rsid w:val="00DC5D1E"/>
    <w:rsid w:val="00DC6F4B"/>
    <w:rsid w:val="00DC7844"/>
    <w:rsid w:val="00DC7932"/>
    <w:rsid w:val="00DC7AF4"/>
    <w:rsid w:val="00DD09A7"/>
    <w:rsid w:val="00DD0F9E"/>
    <w:rsid w:val="00DD175C"/>
    <w:rsid w:val="00DD2279"/>
    <w:rsid w:val="00DD22ED"/>
    <w:rsid w:val="00DD249B"/>
    <w:rsid w:val="00DD2877"/>
    <w:rsid w:val="00DD28E3"/>
    <w:rsid w:val="00DD2B2B"/>
    <w:rsid w:val="00DD330C"/>
    <w:rsid w:val="00DD3FA2"/>
    <w:rsid w:val="00DD4BA7"/>
    <w:rsid w:val="00DD5167"/>
    <w:rsid w:val="00DD519E"/>
    <w:rsid w:val="00DD664B"/>
    <w:rsid w:val="00DD69CB"/>
    <w:rsid w:val="00DD749F"/>
    <w:rsid w:val="00DE055F"/>
    <w:rsid w:val="00DE076C"/>
    <w:rsid w:val="00DE0A0D"/>
    <w:rsid w:val="00DE12B6"/>
    <w:rsid w:val="00DE164E"/>
    <w:rsid w:val="00DE20A4"/>
    <w:rsid w:val="00DE20D1"/>
    <w:rsid w:val="00DE272E"/>
    <w:rsid w:val="00DE292F"/>
    <w:rsid w:val="00DE2AE2"/>
    <w:rsid w:val="00DE2D55"/>
    <w:rsid w:val="00DE2F8B"/>
    <w:rsid w:val="00DE378B"/>
    <w:rsid w:val="00DE41C7"/>
    <w:rsid w:val="00DE4DC9"/>
    <w:rsid w:val="00DE4EB1"/>
    <w:rsid w:val="00DE544A"/>
    <w:rsid w:val="00DE546D"/>
    <w:rsid w:val="00DE5F58"/>
    <w:rsid w:val="00DE6173"/>
    <w:rsid w:val="00DE65C3"/>
    <w:rsid w:val="00DE6A50"/>
    <w:rsid w:val="00DE6AB9"/>
    <w:rsid w:val="00DE7116"/>
    <w:rsid w:val="00DE7192"/>
    <w:rsid w:val="00DE7282"/>
    <w:rsid w:val="00DE75BD"/>
    <w:rsid w:val="00DE7608"/>
    <w:rsid w:val="00DF029F"/>
    <w:rsid w:val="00DF0323"/>
    <w:rsid w:val="00DF192B"/>
    <w:rsid w:val="00DF22B2"/>
    <w:rsid w:val="00DF2677"/>
    <w:rsid w:val="00DF2D98"/>
    <w:rsid w:val="00DF2DBD"/>
    <w:rsid w:val="00DF3339"/>
    <w:rsid w:val="00DF3F21"/>
    <w:rsid w:val="00DF3FBC"/>
    <w:rsid w:val="00DF4442"/>
    <w:rsid w:val="00DF4FD2"/>
    <w:rsid w:val="00DF535E"/>
    <w:rsid w:val="00DF5846"/>
    <w:rsid w:val="00DF6441"/>
    <w:rsid w:val="00DF6A21"/>
    <w:rsid w:val="00DF6EA1"/>
    <w:rsid w:val="00DF7302"/>
    <w:rsid w:val="00E00CEB"/>
    <w:rsid w:val="00E018A0"/>
    <w:rsid w:val="00E0195B"/>
    <w:rsid w:val="00E02BB0"/>
    <w:rsid w:val="00E02F8B"/>
    <w:rsid w:val="00E0361B"/>
    <w:rsid w:val="00E03650"/>
    <w:rsid w:val="00E041EE"/>
    <w:rsid w:val="00E0466F"/>
    <w:rsid w:val="00E04748"/>
    <w:rsid w:val="00E0489F"/>
    <w:rsid w:val="00E049BB"/>
    <w:rsid w:val="00E04C09"/>
    <w:rsid w:val="00E04FE6"/>
    <w:rsid w:val="00E051C0"/>
    <w:rsid w:val="00E058ED"/>
    <w:rsid w:val="00E05A3B"/>
    <w:rsid w:val="00E05D9C"/>
    <w:rsid w:val="00E05E1E"/>
    <w:rsid w:val="00E05FB6"/>
    <w:rsid w:val="00E0648A"/>
    <w:rsid w:val="00E07E44"/>
    <w:rsid w:val="00E10497"/>
    <w:rsid w:val="00E1073E"/>
    <w:rsid w:val="00E10A68"/>
    <w:rsid w:val="00E10BAE"/>
    <w:rsid w:val="00E10DD0"/>
    <w:rsid w:val="00E118CB"/>
    <w:rsid w:val="00E11F11"/>
    <w:rsid w:val="00E120EE"/>
    <w:rsid w:val="00E12468"/>
    <w:rsid w:val="00E12473"/>
    <w:rsid w:val="00E12D53"/>
    <w:rsid w:val="00E137D8"/>
    <w:rsid w:val="00E14C3D"/>
    <w:rsid w:val="00E14DD9"/>
    <w:rsid w:val="00E15289"/>
    <w:rsid w:val="00E15648"/>
    <w:rsid w:val="00E15DB4"/>
    <w:rsid w:val="00E160F8"/>
    <w:rsid w:val="00E162A2"/>
    <w:rsid w:val="00E162E7"/>
    <w:rsid w:val="00E16519"/>
    <w:rsid w:val="00E166A9"/>
    <w:rsid w:val="00E176B8"/>
    <w:rsid w:val="00E1796E"/>
    <w:rsid w:val="00E21819"/>
    <w:rsid w:val="00E218B8"/>
    <w:rsid w:val="00E21B7F"/>
    <w:rsid w:val="00E21DB0"/>
    <w:rsid w:val="00E21FE7"/>
    <w:rsid w:val="00E22487"/>
    <w:rsid w:val="00E226AB"/>
    <w:rsid w:val="00E22C52"/>
    <w:rsid w:val="00E24DC6"/>
    <w:rsid w:val="00E25297"/>
    <w:rsid w:val="00E253BF"/>
    <w:rsid w:val="00E2572E"/>
    <w:rsid w:val="00E25EEC"/>
    <w:rsid w:val="00E262D5"/>
    <w:rsid w:val="00E26F99"/>
    <w:rsid w:val="00E27011"/>
    <w:rsid w:val="00E27FB1"/>
    <w:rsid w:val="00E300C7"/>
    <w:rsid w:val="00E3016B"/>
    <w:rsid w:val="00E30469"/>
    <w:rsid w:val="00E308E5"/>
    <w:rsid w:val="00E30F77"/>
    <w:rsid w:val="00E313DD"/>
    <w:rsid w:val="00E31BFA"/>
    <w:rsid w:val="00E31CBC"/>
    <w:rsid w:val="00E31EA0"/>
    <w:rsid w:val="00E3254D"/>
    <w:rsid w:val="00E325C0"/>
    <w:rsid w:val="00E3299A"/>
    <w:rsid w:val="00E32BF2"/>
    <w:rsid w:val="00E32E44"/>
    <w:rsid w:val="00E333E0"/>
    <w:rsid w:val="00E3355D"/>
    <w:rsid w:val="00E33BCE"/>
    <w:rsid w:val="00E33F08"/>
    <w:rsid w:val="00E348DB"/>
    <w:rsid w:val="00E34D8C"/>
    <w:rsid w:val="00E34FD3"/>
    <w:rsid w:val="00E3529F"/>
    <w:rsid w:val="00E35E4C"/>
    <w:rsid w:val="00E362DD"/>
    <w:rsid w:val="00E36429"/>
    <w:rsid w:val="00E369A2"/>
    <w:rsid w:val="00E36CEC"/>
    <w:rsid w:val="00E36D0A"/>
    <w:rsid w:val="00E36ECD"/>
    <w:rsid w:val="00E37595"/>
    <w:rsid w:val="00E377B0"/>
    <w:rsid w:val="00E3781D"/>
    <w:rsid w:val="00E37F1B"/>
    <w:rsid w:val="00E4176F"/>
    <w:rsid w:val="00E41910"/>
    <w:rsid w:val="00E4262D"/>
    <w:rsid w:val="00E42CDA"/>
    <w:rsid w:val="00E43199"/>
    <w:rsid w:val="00E434C4"/>
    <w:rsid w:val="00E43D82"/>
    <w:rsid w:val="00E443FD"/>
    <w:rsid w:val="00E44B99"/>
    <w:rsid w:val="00E44BCF"/>
    <w:rsid w:val="00E44DFD"/>
    <w:rsid w:val="00E44F2A"/>
    <w:rsid w:val="00E4572B"/>
    <w:rsid w:val="00E45D57"/>
    <w:rsid w:val="00E462A7"/>
    <w:rsid w:val="00E46561"/>
    <w:rsid w:val="00E476E3"/>
    <w:rsid w:val="00E47E85"/>
    <w:rsid w:val="00E50243"/>
    <w:rsid w:val="00E507F8"/>
    <w:rsid w:val="00E50A73"/>
    <w:rsid w:val="00E50C2E"/>
    <w:rsid w:val="00E51A3F"/>
    <w:rsid w:val="00E51B0C"/>
    <w:rsid w:val="00E51CCE"/>
    <w:rsid w:val="00E51D72"/>
    <w:rsid w:val="00E51FA8"/>
    <w:rsid w:val="00E53174"/>
    <w:rsid w:val="00E533A7"/>
    <w:rsid w:val="00E538A0"/>
    <w:rsid w:val="00E54064"/>
    <w:rsid w:val="00E54191"/>
    <w:rsid w:val="00E54F42"/>
    <w:rsid w:val="00E55B8D"/>
    <w:rsid w:val="00E56AA8"/>
    <w:rsid w:val="00E56CE7"/>
    <w:rsid w:val="00E571D6"/>
    <w:rsid w:val="00E57742"/>
    <w:rsid w:val="00E600EF"/>
    <w:rsid w:val="00E60116"/>
    <w:rsid w:val="00E6073C"/>
    <w:rsid w:val="00E611D7"/>
    <w:rsid w:val="00E613F5"/>
    <w:rsid w:val="00E6167D"/>
    <w:rsid w:val="00E61889"/>
    <w:rsid w:val="00E61952"/>
    <w:rsid w:val="00E61AD6"/>
    <w:rsid w:val="00E61B9C"/>
    <w:rsid w:val="00E61CA3"/>
    <w:rsid w:val="00E61F10"/>
    <w:rsid w:val="00E62B65"/>
    <w:rsid w:val="00E62C28"/>
    <w:rsid w:val="00E62EC6"/>
    <w:rsid w:val="00E6341B"/>
    <w:rsid w:val="00E635C0"/>
    <w:rsid w:val="00E638E6"/>
    <w:rsid w:val="00E64A32"/>
    <w:rsid w:val="00E64CE6"/>
    <w:rsid w:val="00E64FF8"/>
    <w:rsid w:val="00E65BDD"/>
    <w:rsid w:val="00E65C1B"/>
    <w:rsid w:val="00E66AEA"/>
    <w:rsid w:val="00E66F7F"/>
    <w:rsid w:val="00E670D5"/>
    <w:rsid w:val="00E703A2"/>
    <w:rsid w:val="00E70CBA"/>
    <w:rsid w:val="00E70F78"/>
    <w:rsid w:val="00E711E8"/>
    <w:rsid w:val="00E71252"/>
    <w:rsid w:val="00E71A95"/>
    <w:rsid w:val="00E7231A"/>
    <w:rsid w:val="00E72D1D"/>
    <w:rsid w:val="00E72F51"/>
    <w:rsid w:val="00E73529"/>
    <w:rsid w:val="00E73D8E"/>
    <w:rsid w:val="00E74084"/>
    <w:rsid w:val="00E7440C"/>
    <w:rsid w:val="00E74C7A"/>
    <w:rsid w:val="00E75067"/>
    <w:rsid w:val="00E754F0"/>
    <w:rsid w:val="00E75688"/>
    <w:rsid w:val="00E76F28"/>
    <w:rsid w:val="00E77383"/>
    <w:rsid w:val="00E77431"/>
    <w:rsid w:val="00E802A0"/>
    <w:rsid w:val="00E80669"/>
    <w:rsid w:val="00E81744"/>
    <w:rsid w:val="00E81828"/>
    <w:rsid w:val="00E818F7"/>
    <w:rsid w:val="00E81BEA"/>
    <w:rsid w:val="00E82630"/>
    <w:rsid w:val="00E82FC3"/>
    <w:rsid w:val="00E830F2"/>
    <w:rsid w:val="00E83420"/>
    <w:rsid w:val="00E8458F"/>
    <w:rsid w:val="00E84C46"/>
    <w:rsid w:val="00E85B9C"/>
    <w:rsid w:val="00E863F1"/>
    <w:rsid w:val="00E8747D"/>
    <w:rsid w:val="00E87789"/>
    <w:rsid w:val="00E8783F"/>
    <w:rsid w:val="00E87F9F"/>
    <w:rsid w:val="00E90675"/>
    <w:rsid w:val="00E90C9B"/>
    <w:rsid w:val="00E91258"/>
    <w:rsid w:val="00E916D0"/>
    <w:rsid w:val="00E919F9"/>
    <w:rsid w:val="00E92851"/>
    <w:rsid w:val="00E92EF2"/>
    <w:rsid w:val="00E92FCC"/>
    <w:rsid w:val="00E935DC"/>
    <w:rsid w:val="00E9391C"/>
    <w:rsid w:val="00E93C96"/>
    <w:rsid w:val="00E94965"/>
    <w:rsid w:val="00E95A27"/>
    <w:rsid w:val="00E95C52"/>
    <w:rsid w:val="00E96883"/>
    <w:rsid w:val="00E968BD"/>
    <w:rsid w:val="00E96904"/>
    <w:rsid w:val="00E96F2B"/>
    <w:rsid w:val="00E9750F"/>
    <w:rsid w:val="00E97C3D"/>
    <w:rsid w:val="00E97E77"/>
    <w:rsid w:val="00EA11DE"/>
    <w:rsid w:val="00EA11F9"/>
    <w:rsid w:val="00EA247F"/>
    <w:rsid w:val="00EA28E6"/>
    <w:rsid w:val="00EA3416"/>
    <w:rsid w:val="00EA3658"/>
    <w:rsid w:val="00EA37DB"/>
    <w:rsid w:val="00EA3883"/>
    <w:rsid w:val="00EA3A8C"/>
    <w:rsid w:val="00EA3B16"/>
    <w:rsid w:val="00EA403F"/>
    <w:rsid w:val="00EA42EF"/>
    <w:rsid w:val="00EA4C85"/>
    <w:rsid w:val="00EA5313"/>
    <w:rsid w:val="00EA5AB6"/>
    <w:rsid w:val="00EA5D03"/>
    <w:rsid w:val="00EA6273"/>
    <w:rsid w:val="00EA6528"/>
    <w:rsid w:val="00EA6E31"/>
    <w:rsid w:val="00EB0F90"/>
    <w:rsid w:val="00EB0FF2"/>
    <w:rsid w:val="00EB11C4"/>
    <w:rsid w:val="00EB1A01"/>
    <w:rsid w:val="00EB1A61"/>
    <w:rsid w:val="00EB1E16"/>
    <w:rsid w:val="00EB2079"/>
    <w:rsid w:val="00EB2458"/>
    <w:rsid w:val="00EB2527"/>
    <w:rsid w:val="00EB26EF"/>
    <w:rsid w:val="00EB27A5"/>
    <w:rsid w:val="00EB2EA6"/>
    <w:rsid w:val="00EB2F62"/>
    <w:rsid w:val="00EB3071"/>
    <w:rsid w:val="00EB350E"/>
    <w:rsid w:val="00EB4E4E"/>
    <w:rsid w:val="00EB4EEC"/>
    <w:rsid w:val="00EB5567"/>
    <w:rsid w:val="00EB6F43"/>
    <w:rsid w:val="00EB716F"/>
    <w:rsid w:val="00EB7779"/>
    <w:rsid w:val="00EB79C8"/>
    <w:rsid w:val="00EB79CC"/>
    <w:rsid w:val="00EB7FFC"/>
    <w:rsid w:val="00EC010B"/>
    <w:rsid w:val="00EC062F"/>
    <w:rsid w:val="00EC09BA"/>
    <w:rsid w:val="00EC0C66"/>
    <w:rsid w:val="00EC1095"/>
    <w:rsid w:val="00EC10FB"/>
    <w:rsid w:val="00EC1675"/>
    <w:rsid w:val="00EC1902"/>
    <w:rsid w:val="00EC2036"/>
    <w:rsid w:val="00EC2A69"/>
    <w:rsid w:val="00EC2D9E"/>
    <w:rsid w:val="00EC3C36"/>
    <w:rsid w:val="00EC3F42"/>
    <w:rsid w:val="00EC4516"/>
    <w:rsid w:val="00EC4962"/>
    <w:rsid w:val="00EC5738"/>
    <w:rsid w:val="00EC6C64"/>
    <w:rsid w:val="00EC7317"/>
    <w:rsid w:val="00EC7BB9"/>
    <w:rsid w:val="00EC7BFF"/>
    <w:rsid w:val="00EC7E35"/>
    <w:rsid w:val="00EC7F7E"/>
    <w:rsid w:val="00ED01C6"/>
    <w:rsid w:val="00ED0495"/>
    <w:rsid w:val="00ED1175"/>
    <w:rsid w:val="00ED11E4"/>
    <w:rsid w:val="00ED11F8"/>
    <w:rsid w:val="00ED189B"/>
    <w:rsid w:val="00ED240D"/>
    <w:rsid w:val="00ED24E4"/>
    <w:rsid w:val="00ED2BFC"/>
    <w:rsid w:val="00ED2F78"/>
    <w:rsid w:val="00ED32D8"/>
    <w:rsid w:val="00ED46A6"/>
    <w:rsid w:val="00ED47A8"/>
    <w:rsid w:val="00ED48F7"/>
    <w:rsid w:val="00ED4939"/>
    <w:rsid w:val="00ED545D"/>
    <w:rsid w:val="00ED674E"/>
    <w:rsid w:val="00ED67BA"/>
    <w:rsid w:val="00EE0045"/>
    <w:rsid w:val="00EE04CC"/>
    <w:rsid w:val="00EE0852"/>
    <w:rsid w:val="00EE0B41"/>
    <w:rsid w:val="00EE1057"/>
    <w:rsid w:val="00EE1320"/>
    <w:rsid w:val="00EE18EE"/>
    <w:rsid w:val="00EE1D4D"/>
    <w:rsid w:val="00EE1E78"/>
    <w:rsid w:val="00EE2322"/>
    <w:rsid w:val="00EE2A69"/>
    <w:rsid w:val="00EE3183"/>
    <w:rsid w:val="00EE3ACA"/>
    <w:rsid w:val="00EE4232"/>
    <w:rsid w:val="00EE439B"/>
    <w:rsid w:val="00EE4692"/>
    <w:rsid w:val="00EE5255"/>
    <w:rsid w:val="00EE5BD8"/>
    <w:rsid w:val="00EE665F"/>
    <w:rsid w:val="00EE6871"/>
    <w:rsid w:val="00EE69F8"/>
    <w:rsid w:val="00EE705D"/>
    <w:rsid w:val="00EE7505"/>
    <w:rsid w:val="00EE7A52"/>
    <w:rsid w:val="00EF0406"/>
    <w:rsid w:val="00EF0E79"/>
    <w:rsid w:val="00EF1BA5"/>
    <w:rsid w:val="00EF236A"/>
    <w:rsid w:val="00EF3674"/>
    <w:rsid w:val="00EF3682"/>
    <w:rsid w:val="00EF4062"/>
    <w:rsid w:val="00EF4375"/>
    <w:rsid w:val="00EF482D"/>
    <w:rsid w:val="00EF4E1C"/>
    <w:rsid w:val="00EF5509"/>
    <w:rsid w:val="00EF5792"/>
    <w:rsid w:val="00EF5967"/>
    <w:rsid w:val="00EF6106"/>
    <w:rsid w:val="00EF6C82"/>
    <w:rsid w:val="00EF6F44"/>
    <w:rsid w:val="00EF72F3"/>
    <w:rsid w:val="00EF7628"/>
    <w:rsid w:val="00EF789E"/>
    <w:rsid w:val="00EF7A86"/>
    <w:rsid w:val="00F00B8B"/>
    <w:rsid w:val="00F00E1C"/>
    <w:rsid w:val="00F015C1"/>
    <w:rsid w:val="00F027BB"/>
    <w:rsid w:val="00F02AE6"/>
    <w:rsid w:val="00F03951"/>
    <w:rsid w:val="00F043C2"/>
    <w:rsid w:val="00F0453F"/>
    <w:rsid w:val="00F04CB3"/>
    <w:rsid w:val="00F04FE2"/>
    <w:rsid w:val="00F051B1"/>
    <w:rsid w:val="00F054F3"/>
    <w:rsid w:val="00F05801"/>
    <w:rsid w:val="00F05A4E"/>
    <w:rsid w:val="00F05A7A"/>
    <w:rsid w:val="00F06E06"/>
    <w:rsid w:val="00F07580"/>
    <w:rsid w:val="00F10105"/>
    <w:rsid w:val="00F1055C"/>
    <w:rsid w:val="00F10AC7"/>
    <w:rsid w:val="00F10F16"/>
    <w:rsid w:val="00F117EA"/>
    <w:rsid w:val="00F11B96"/>
    <w:rsid w:val="00F11C2A"/>
    <w:rsid w:val="00F12BEE"/>
    <w:rsid w:val="00F12ED3"/>
    <w:rsid w:val="00F139FF"/>
    <w:rsid w:val="00F13CD4"/>
    <w:rsid w:val="00F14155"/>
    <w:rsid w:val="00F1499C"/>
    <w:rsid w:val="00F16408"/>
    <w:rsid w:val="00F167BF"/>
    <w:rsid w:val="00F16D84"/>
    <w:rsid w:val="00F17078"/>
    <w:rsid w:val="00F170BD"/>
    <w:rsid w:val="00F17421"/>
    <w:rsid w:val="00F20606"/>
    <w:rsid w:val="00F209FD"/>
    <w:rsid w:val="00F20AE2"/>
    <w:rsid w:val="00F211F9"/>
    <w:rsid w:val="00F21611"/>
    <w:rsid w:val="00F217AE"/>
    <w:rsid w:val="00F2199C"/>
    <w:rsid w:val="00F2207B"/>
    <w:rsid w:val="00F220C4"/>
    <w:rsid w:val="00F22303"/>
    <w:rsid w:val="00F22354"/>
    <w:rsid w:val="00F22978"/>
    <w:rsid w:val="00F2315C"/>
    <w:rsid w:val="00F232EB"/>
    <w:rsid w:val="00F236BC"/>
    <w:rsid w:val="00F23A40"/>
    <w:rsid w:val="00F24538"/>
    <w:rsid w:val="00F2573A"/>
    <w:rsid w:val="00F25A1B"/>
    <w:rsid w:val="00F262C7"/>
    <w:rsid w:val="00F26929"/>
    <w:rsid w:val="00F271AF"/>
    <w:rsid w:val="00F274A7"/>
    <w:rsid w:val="00F27B49"/>
    <w:rsid w:val="00F27C01"/>
    <w:rsid w:val="00F309C2"/>
    <w:rsid w:val="00F3148B"/>
    <w:rsid w:val="00F3160D"/>
    <w:rsid w:val="00F320CB"/>
    <w:rsid w:val="00F328DE"/>
    <w:rsid w:val="00F32D0C"/>
    <w:rsid w:val="00F3344D"/>
    <w:rsid w:val="00F33540"/>
    <w:rsid w:val="00F33F6F"/>
    <w:rsid w:val="00F34417"/>
    <w:rsid w:val="00F3454F"/>
    <w:rsid w:val="00F34595"/>
    <w:rsid w:val="00F35320"/>
    <w:rsid w:val="00F360B4"/>
    <w:rsid w:val="00F3681E"/>
    <w:rsid w:val="00F36D3A"/>
    <w:rsid w:val="00F370F9"/>
    <w:rsid w:val="00F371A5"/>
    <w:rsid w:val="00F372D3"/>
    <w:rsid w:val="00F3745A"/>
    <w:rsid w:val="00F40100"/>
    <w:rsid w:val="00F40C37"/>
    <w:rsid w:val="00F40E43"/>
    <w:rsid w:val="00F4105D"/>
    <w:rsid w:val="00F410FB"/>
    <w:rsid w:val="00F41141"/>
    <w:rsid w:val="00F41152"/>
    <w:rsid w:val="00F41888"/>
    <w:rsid w:val="00F4274A"/>
    <w:rsid w:val="00F43A6E"/>
    <w:rsid w:val="00F443E0"/>
    <w:rsid w:val="00F4515D"/>
    <w:rsid w:val="00F45251"/>
    <w:rsid w:val="00F4614B"/>
    <w:rsid w:val="00F462CA"/>
    <w:rsid w:val="00F4651A"/>
    <w:rsid w:val="00F51CA9"/>
    <w:rsid w:val="00F52A09"/>
    <w:rsid w:val="00F52E10"/>
    <w:rsid w:val="00F53970"/>
    <w:rsid w:val="00F54331"/>
    <w:rsid w:val="00F54883"/>
    <w:rsid w:val="00F54A8D"/>
    <w:rsid w:val="00F54EA9"/>
    <w:rsid w:val="00F557EB"/>
    <w:rsid w:val="00F55A80"/>
    <w:rsid w:val="00F55B1F"/>
    <w:rsid w:val="00F55D03"/>
    <w:rsid w:val="00F5739F"/>
    <w:rsid w:val="00F60492"/>
    <w:rsid w:val="00F60AD1"/>
    <w:rsid w:val="00F60ED7"/>
    <w:rsid w:val="00F6103E"/>
    <w:rsid w:val="00F61F67"/>
    <w:rsid w:val="00F626AD"/>
    <w:rsid w:val="00F62745"/>
    <w:rsid w:val="00F6328C"/>
    <w:rsid w:val="00F63441"/>
    <w:rsid w:val="00F6398E"/>
    <w:rsid w:val="00F63AC9"/>
    <w:rsid w:val="00F64454"/>
    <w:rsid w:val="00F645F9"/>
    <w:rsid w:val="00F65794"/>
    <w:rsid w:val="00F6724F"/>
    <w:rsid w:val="00F67626"/>
    <w:rsid w:val="00F67669"/>
    <w:rsid w:val="00F677C7"/>
    <w:rsid w:val="00F67834"/>
    <w:rsid w:val="00F67B29"/>
    <w:rsid w:val="00F7003F"/>
    <w:rsid w:val="00F70618"/>
    <w:rsid w:val="00F70F42"/>
    <w:rsid w:val="00F71168"/>
    <w:rsid w:val="00F71927"/>
    <w:rsid w:val="00F71C96"/>
    <w:rsid w:val="00F72AE6"/>
    <w:rsid w:val="00F73156"/>
    <w:rsid w:val="00F73644"/>
    <w:rsid w:val="00F73B7B"/>
    <w:rsid w:val="00F741D9"/>
    <w:rsid w:val="00F746B3"/>
    <w:rsid w:val="00F74F46"/>
    <w:rsid w:val="00F75353"/>
    <w:rsid w:val="00F7535A"/>
    <w:rsid w:val="00F756C5"/>
    <w:rsid w:val="00F75E06"/>
    <w:rsid w:val="00F75E2D"/>
    <w:rsid w:val="00F75F79"/>
    <w:rsid w:val="00F771FE"/>
    <w:rsid w:val="00F7799F"/>
    <w:rsid w:val="00F77AF5"/>
    <w:rsid w:val="00F80410"/>
    <w:rsid w:val="00F80933"/>
    <w:rsid w:val="00F81397"/>
    <w:rsid w:val="00F8166E"/>
    <w:rsid w:val="00F8172E"/>
    <w:rsid w:val="00F8198D"/>
    <w:rsid w:val="00F820E5"/>
    <w:rsid w:val="00F82165"/>
    <w:rsid w:val="00F82829"/>
    <w:rsid w:val="00F82EEF"/>
    <w:rsid w:val="00F8373A"/>
    <w:rsid w:val="00F83913"/>
    <w:rsid w:val="00F83D70"/>
    <w:rsid w:val="00F844B4"/>
    <w:rsid w:val="00F84D38"/>
    <w:rsid w:val="00F85628"/>
    <w:rsid w:val="00F8581B"/>
    <w:rsid w:val="00F85A98"/>
    <w:rsid w:val="00F85AAB"/>
    <w:rsid w:val="00F85E4F"/>
    <w:rsid w:val="00F861E7"/>
    <w:rsid w:val="00F86209"/>
    <w:rsid w:val="00F8633B"/>
    <w:rsid w:val="00F863CA"/>
    <w:rsid w:val="00F86B52"/>
    <w:rsid w:val="00F86DB2"/>
    <w:rsid w:val="00F8753E"/>
    <w:rsid w:val="00F87586"/>
    <w:rsid w:val="00F902A8"/>
    <w:rsid w:val="00F90CE7"/>
    <w:rsid w:val="00F9114E"/>
    <w:rsid w:val="00F9193A"/>
    <w:rsid w:val="00F92002"/>
    <w:rsid w:val="00F9268B"/>
    <w:rsid w:val="00F92D45"/>
    <w:rsid w:val="00F9389D"/>
    <w:rsid w:val="00F94A81"/>
    <w:rsid w:val="00F94AF1"/>
    <w:rsid w:val="00F94B02"/>
    <w:rsid w:val="00F94B82"/>
    <w:rsid w:val="00F95765"/>
    <w:rsid w:val="00F9578B"/>
    <w:rsid w:val="00F95CE9"/>
    <w:rsid w:val="00F961BB"/>
    <w:rsid w:val="00F96F1A"/>
    <w:rsid w:val="00F972FA"/>
    <w:rsid w:val="00F975D1"/>
    <w:rsid w:val="00F97757"/>
    <w:rsid w:val="00FA034F"/>
    <w:rsid w:val="00FA164B"/>
    <w:rsid w:val="00FA23B7"/>
    <w:rsid w:val="00FA2448"/>
    <w:rsid w:val="00FA2A97"/>
    <w:rsid w:val="00FA36D4"/>
    <w:rsid w:val="00FA4198"/>
    <w:rsid w:val="00FA41E4"/>
    <w:rsid w:val="00FA4B6C"/>
    <w:rsid w:val="00FA4EE8"/>
    <w:rsid w:val="00FA4F35"/>
    <w:rsid w:val="00FA53CD"/>
    <w:rsid w:val="00FA54E2"/>
    <w:rsid w:val="00FA5DF3"/>
    <w:rsid w:val="00FA6255"/>
    <w:rsid w:val="00FA6B9B"/>
    <w:rsid w:val="00FA6C25"/>
    <w:rsid w:val="00FA6FC6"/>
    <w:rsid w:val="00FA71FD"/>
    <w:rsid w:val="00FA770E"/>
    <w:rsid w:val="00FA7729"/>
    <w:rsid w:val="00FA7BE8"/>
    <w:rsid w:val="00FB0201"/>
    <w:rsid w:val="00FB046D"/>
    <w:rsid w:val="00FB083A"/>
    <w:rsid w:val="00FB1209"/>
    <w:rsid w:val="00FB1211"/>
    <w:rsid w:val="00FB24CE"/>
    <w:rsid w:val="00FB2677"/>
    <w:rsid w:val="00FB2A95"/>
    <w:rsid w:val="00FB2AC5"/>
    <w:rsid w:val="00FB30E8"/>
    <w:rsid w:val="00FB381B"/>
    <w:rsid w:val="00FB3C45"/>
    <w:rsid w:val="00FB431D"/>
    <w:rsid w:val="00FB4605"/>
    <w:rsid w:val="00FB5377"/>
    <w:rsid w:val="00FB55F8"/>
    <w:rsid w:val="00FB57F9"/>
    <w:rsid w:val="00FB6065"/>
    <w:rsid w:val="00FB6260"/>
    <w:rsid w:val="00FB64DB"/>
    <w:rsid w:val="00FB73A2"/>
    <w:rsid w:val="00FB7613"/>
    <w:rsid w:val="00FC201F"/>
    <w:rsid w:val="00FC2645"/>
    <w:rsid w:val="00FC39D5"/>
    <w:rsid w:val="00FC3E51"/>
    <w:rsid w:val="00FC3ECC"/>
    <w:rsid w:val="00FC5006"/>
    <w:rsid w:val="00FC5960"/>
    <w:rsid w:val="00FC5DBB"/>
    <w:rsid w:val="00FC6094"/>
    <w:rsid w:val="00FC64E4"/>
    <w:rsid w:val="00FC6962"/>
    <w:rsid w:val="00FC6DBB"/>
    <w:rsid w:val="00FC6ECB"/>
    <w:rsid w:val="00FC745A"/>
    <w:rsid w:val="00FC76A5"/>
    <w:rsid w:val="00FC7FBF"/>
    <w:rsid w:val="00FD0540"/>
    <w:rsid w:val="00FD0D46"/>
    <w:rsid w:val="00FD0F0E"/>
    <w:rsid w:val="00FD100F"/>
    <w:rsid w:val="00FD1248"/>
    <w:rsid w:val="00FD192E"/>
    <w:rsid w:val="00FD19BE"/>
    <w:rsid w:val="00FD30E3"/>
    <w:rsid w:val="00FD3120"/>
    <w:rsid w:val="00FD351A"/>
    <w:rsid w:val="00FD38F7"/>
    <w:rsid w:val="00FD3BDD"/>
    <w:rsid w:val="00FD4538"/>
    <w:rsid w:val="00FD5A2A"/>
    <w:rsid w:val="00FD64A2"/>
    <w:rsid w:val="00FD6E1B"/>
    <w:rsid w:val="00FD7191"/>
    <w:rsid w:val="00FD723A"/>
    <w:rsid w:val="00FD7E57"/>
    <w:rsid w:val="00FD7FCB"/>
    <w:rsid w:val="00FE0863"/>
    <w:rsid w:val="00FE0B99"/>
    <w:rsid w:val="00FE152F"/>
    <w:rsid w:val="00FE224B"/>
    <w:rsid w:val="00FE241B"/>
    <w:rsid w:val="00FE3BD5"/>
    <w:rsid w:val="00FE4217"/>
    <w:rsid w:val="00FE5012"/>
    <w:rsid w:val="00FE533D"/>
    <w:rsid w:val="00FE59C6"/>
    <w:rsid w:val="00FE6D3B"/>
    <w:rsid w:val="00FE6F58"/>
    <w:rsid w:val="00FE6FB8"/>
    <w:rsid w:val="00FE7522"/>
    <w:rsid w:val="00FF022A"/>
    <w:rsid w:val="00FF0430"/>
    <w:rsid w:val="00FF0794"/>
    <w:rsid w:val="00FF17C1"/>
    <w:rsid w:val="00FF2157"/>
    <w:rsid w:val="00FF2222"/>
    <w:rsid w:val="00FF2493"/>
    <w:rsid w:val="00FF2ECD"/>
    <w:rsid w:val="00FF33F6"/>
    <w:rsid w:val="00FF370E"/>
    <w:rsid w:val="00FF43AC"/>
    <w:rsid w:val="00FF44BD"/>
    <w:rsid w:val="00FF4919"/>
    <w:rsid w:val="00FF4CD3"/>
    <w:rsid w:val="00FF4EED"/>
    <w:rsid w:val="00FF4FA4"/>
    <w:rsid w:val="00FF5095"/>
    <w:rsid w:val="00FF54B6"/>
    <w:rsid w:val="00FF5579"/>
    <w:rsid w:val="00FF56B4"/>
    <w:rsid w:val="00FF578B"/>
    <w:rsid w:val="00FF59B6"/>
    <w:rsid w:val="00FF5ECA"/>
    <w:rsid w:val="00FF6046"/>
    <w:rsid w:val="00FF6068"/>
    <w:rsid w:val="00FF6BA7"/>
    <w:rsid w:val="00FF6C9E"/>
    <w:rsid w:val="00FF70E0"/>
    <w:rsid w:val="00FF7155"/>
    <w:rsid w:val="00FF71FC"/>
    <w:rsid w:val="00FF7737"/>
    <w:rsid w:val="00FF7740"/>
    <w:rsid w:val="00FF7E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E961"/>
  <w15:docId w15:val="{EA07D08C-562C-4DAD-B97A-E71B5371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5364E"/>
    <w:pPr>
      <w:spacing w:after="0" w:line="240" w:lineRule="auto"/>
      <w:jc w:val="both"/>
    </w:pPr>
    <w:rPr>
      <w:rFonts w:ascii="Calibri" w:hAnsi="Calibri" w:cs="Times New Roman"/>
      <w:sz w:val="24"/>
      <w:szCs w:val="24"/>
    </w:rPr>
  </w:style>
  <w:style w:type="paragraph" w:styleId="Heading1">
    <w:name w:val="heading 1"/>
    <w:aliases w:val="CEPA 1, CEPA 1,Lizzie's HEADER 1,Section,1,2,Section Heading,11, 1, 11, 2"/>
    <w:basedOn w:val="Normal"/>
    <w:next w:val="CEPAReportText"/>
    <w:link w:val="Heading1Char"/>
    <w:qFormat/>
    <w:rsid w:val="00B5364E"/>
    <w:pPr>
      <w:keepNext/>
      <w:numPr>
        <w:numId w:val="20"/>
      </w:numPr>
      <w:spacing w:before="240" w:after="240"/>
      <w:outlineLvl w:val="0"/>
    </w:pPr>
    <w:rPr>
      <w:rFonts w:cs="Arial"/>
      <w:b/>
      <w:bCs/>
      <w:smallCaps/>
      <w:kern w:val="32"/>
      <w:sz w:val="28"/>
      <w:szCs w:val="28"/>
    </w:rPr>
  </w:style>
  <w:style w:type="paragraph" w:styleId="Heading2">
    <w:name w:val="heading 2"/>
    <w:aliases w:val="CEPA 2, CEPA 2,LIZZIE HEADER 2,an_Über 2,Major,an_†ber 2,Centerhead"/>
    <w:basedOn w:val="Normal"/>
    <w:next w:val="CEPAReportText"/>
    <w:link w:val="Heading2Char"/>
    <w:qFormat/>
    <w:rsid w:val="00B5364E"/>
    <w:pPr>
      <w:keepNext/>
      <w:numPr>
        <w:ilvl w:val="1"/>
        <w:numId w:val="20"/>
      </w:numPr>
      <w:spacing w:before="240" w:after="240" w:line="276" w:lineRule="auto"/>
      <w:outlineLvl w:val="1"/>
    </w:pPr>
    <w:rPr>
      <w:rFonts w:cs="Arial"/>
      <w:b/>
      <w:bCs/>
      <w:iCs/>
      <w:szCs w:val="28"/>
    </w:rPr>
  </w:style>
  <w:style w:type="paragraph" w:styleId="Heading3">
    <w:name w:val="heading 3"/>
    <w:aliases w:val="CEPA 3, CEPA 3,an_Über 3,Minor,an_†ber 3"/>
    <w:basedOn w:val="Normal"/>
    <w:next w:val="CEPAReportText"/>
    <w:link w:val="Heading3Char"/>
    <w:qFormat/>
    <w:rsid w:val="00B5364E"/>
    <w:pPr>
      <w:keepNext/>
      <w:numPr>
        <w:ilvl w:val="2"/>
        <w:numId w:val="20"/>
      </w:numPr>
      <w:spacing w:before="240" w:after="240"/>
      <w:outlineLvl w:val="2"/>
    </w:pPr>
    <w:rPr>
      <w:rFonts w:cs="Arial"/>
      <w:b/>
      <w:bCs/>
      <w:szCs w:val="26"/>
    </w:rPr>
  </w:style>
  <w:style w:type="paragraph" w:styleId="Heading4">
    <w:name w:val="heading 4"/>
    <w:aliases w:val="CEPA 4, CEPA 4"/>
    <w:basedOn w:val="Normal"/>
    <w:next w:val="CEPAReportText"/>
    <w:link w:val="Heading4Char"/>
    <w:qFormat/>
    <w:rsid w:val="00B5364E"/>
    <w:pPr>
      <w:keepNext/>
      <w:tabs>
        <w:tab w:val="left" w:pos="357"/>
      </w:tabs>
      <w:spacing w:before="240" w:after="240"/>
      <w:outlineLvl w:val="3"/>
    </w:pPr>
    <w:rPr>
      <w:b/>
      <w:bCs/>
      <w:color w:val="275792"/>
      <w:szCs w:val="28"/>
    </w:rPr>
  </w:style>
  <w:style w:type="paragraph" w:styleId="Heading5">
    <w:name w:val="heading 5"/>
    <w:basedOn w:val="Normal"/>
    <w:next w:val="Normal"/>
    <w:link w:val="Heading5Char"/>
    <w:uiPriority w:val="9"/>
    <w:unhideWhenUsed/>
    <w:qFormat/>
    <w:rsid w:val="009B4AF0"/>
    <w:pPr>
      <w:keepNext/>
      <w:keepLines/>
      <w:spacing w:before="200"/>
      <w:jc w:val="left"/>
      <w:outlineLvl w:val="4"/>
    </w:pPr>
    <w:rPr>
      <w:rFonts w:asciiTheme="majorHAnsi" w:eastAsiaTheme="majorEastAsia" w:hAnsiTheme="majorHAnsi" w:cstheme="majorBidi"/>
      <w:color w:val="3F3F3F" w:themeColor="accent1" w:themeShade="7F"/>
      <w:sz w:val="22"/>
      <w:szCs w:val="22"/>
      <w:lang w:eastAsia="en-GB"/>
    </w:rPr>
  </w:style>
  <w:style w:type="paragraph" w:styleId="Heading6">
    <w:name w:val="heading 6"/>
    <w:basedOn w:val="Normal"/>
    <w:next w:val="Normal"/>
    <w:link w:val="Heading6Char"/>
    <w:uiPriority w:val="9"/>
    <w:unhideWhenUsed/>
    <w:qFormat/>
    <w:rsid w:val="009B4AF0"/>
    <w:pPr>
      <w:keepNext/>
      <w:keepLines/>
      <w:spacing w:before="200"/>
      <w:jc w:val="left"/>
      <w:outlineLvl w:val="5"/>
    </w:pPr>
    <w:rPr>
      <w:rFonts w:asciiTheme="majorHAnsi" w:eastAsiaTheme="majorEastAsia" w:hAnsiTheme="majorHAnsi" w:cstheme="majorBidi"/>
      <w:i/>
      <w:iCs/>
      <w:color w:val="3F3F3F" w:themeColor="accent1" w:themeShade="7F"/>
      <w:sz w:val="22"/>
      <w:szCs w:val="22"/>
      <w:lang w:eastAsia="en-GB"/>
    </w:rPr>
  </w:style>
  <w:style w:type="paragraph" w:styleId="Heading7">
    <w:name w:val="heading 7"/>
    <w:aliases w:val="CEPA Annex L1"/>
    <w:basedOn w:val="Normal"/>
    <w:next w:val="Normal"/>
    <w:link w:val="Heading7Char"/>
    <w:unhideWhenUsed/>
    <w:qFormat/>
    <w:rsid w:val="00B5364E"/>
    <w:pPr>
      <w:keepNext/>
      <w:keepLines/>
      <w:numPr>
        <w:numId w:val="21"/>
      </w:numPr>
      <w:spacing w:before="240" w:after="240"/>
      <w:outlineLvl w:val="6"/>
    </w:pPr>
    <w:rPr>
      <w:rFonts w:asciiTheme="minorHAnsi" w:eastAsiaTheme="majorEastAsia" w:hAnsiTheme="minorHAnsi" w:cstheme="majorBidi"/>
      <w:b/>
      <w:iCs/>
      <w:smallCaps/>
      <w:sz w:val="28"/>
    </w:rPr>
  </w:style>
  <w:style w:type="paragraph" w:styleId="Heading8">
    <w:name w:val="heading 8"/>
    <w:aliases w:val="CEPA Annex L2"/>
    <w:basedOn w:val="Normal"/>
    <w:next w:val="Normal"/>
    <w:link w:val="Heading8Char"/>
    <w:unhideWhenUsed/>
    <w:qFormat/>
    <w:rsid w:val="00B5364E"/>
    <w:pPr>
      <w:keepNext/>
      <w:keepLines/>
      <w:numPr>
        <w:ilvl w:val="1"/>
        <w:numId w:val="21"/>
      </w:numPr>
      <w:tabs>
        <w:tab w:val="left" w:pos="357"/>
      </w:tabs>
      <w:spacing w:before="240" w:after="240"/>
      <w:outlineLvl w:val="7"/>
    </w:pPr>
    <w:rPr>
      <w:rFonts w:asciiTheme="minorHAnsi" w:eastAsiaTheme="majorEastAsia" w:hAnsiTheme="minorHAnsi" w:cstheme="majorBidi"/>
      <w:b/>
      <w:color w:val="316EB9" w:themeColor="text1" w:themeTint="D8"/>
      <w:szCs w:val="21"/>
    </w:rPr>
  </w:style>
  <w:style w:type="paragraph" w:styleId="Heading9">
    <w:name w:val="heading 9"/>
    <w:aliases w:val="CEPA Annex L3"/>
    <w:basedOn w:val="Normal"/>
    <w:next w:val="Normal"/>
    <w:link w:val="Heading9Char"/>
    <w:unhideWhenUsed/>
    <w:qFormat/>
    <w:rsid w:val="00B5364E"/>
    <w:pPr>
      <w:keepNext/>
      <w:keepLines/>
      <w:numPr>
        <w:ilvl w:val="2"/>
        <w:numId w:val="21"/>
      </w:numPr>
      <w:spacing w:before="240" w:after="240"/>
      <w:outlineLvl w:val="8"/>
    </w:pPr>
    <w:rPr>
      <w:rFonts w:asciiTheme="minorHAnsi" w:hAnsiTheme="min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B5364E"/>
    <w:rPr>
      <w:rFonts w:asciiTheme="minorHAnsi" w:hAnsiTheme="minorHAnsi" w:cs="Tahoma"/>
      <w:sz w:val="16"/>
      <w:szCs w:val="16"/>
    </w:rPr>
  </w:style>
  <w:style w:type="character" w:customStyle="1" w:styleId="BalloonTextChar">
    <w:name w:val="Balloon Text Char"/>
    <w:basedOn w:val="DefaultParagraphFont"/>
    <w:link w:val="BalloonText"/>
    <w:uiPriority w:val="99"/>
    <w:rsid w:val="00B5364E"/>
    <w:rPr>
      <w:rFonts w:cs="Tahoma"/>
      <w:sz w:val="16"/>
      <w:szCs w:val="16"/>
    </w:rPr>
  </w:style>
  <w:style w:type="paragraph" w:customStyle="1" w:styleId="CEPADiagramLabel">
    <w:name w:val="CEPA Diagram Label"/>
    <w:basedOn w:val="Normal"/>
    <w:link w:val="CEPADiagramLabelChar"/>
    <w:qFormat/>
    <w:rsid w:val="00B5364E"/>
    <w:pPr>
      <w:keepNext/>
      <w:spacing w:before="60" w:after="60"/>
    </w:pPr>
    <w:rPr>
      <w:i/>
      <w:sz w:val="22"/>
    </w:rPr>
  </w:style>
  <w:style w:type="paragraph" w:styleId="Caption">
    <w:name w:val="caption"/>
    <w:basedOn w:val="Normal"/>
    <w:next w:val="Normal"/>
    <w:unhideWhenUsed/>
    <w:qFormat/>
    <w:rsid w:val="00B5364E"/>
    <w:pPr>
      <w:spacing w:after="200"/>
    </w:pPr>
    <w:rPr>
      <w:i/>
      <w:iCs/>
      <w:color w:val="72B2E2" w:themeColor="text2"/>
      <w:sz w:val="18"/>
      <w:szCs w:val="18"/>
    </w:rPr>
  </w:style>
  <w:style w:type="numbering" w:customStyle="1" w:styleId="CEPA-Bullets">
    <w:name w:val="CEPA - Bullets"/>
    <w:basedOn w:val="NoList"/>
    <w:rsid w:val="00B5364E"/>
    <w:pPr>
      <w:numPr>
        <w:numId w:val="4"/>
      </w:numPr>
    </w:pPr>
  </w:style>
  <w:style w:type="paragraph" w:customStyle="1" w:styleId="CEPAReportText">
    <w:name w:val="CEPA Report Text"/>
    <w:basedOn w:val="Normal"/>
    <w:link w:val="CEPAReportTextChar"/>
    <w:qFormat/>
    <w:rsid w:val="00B5364E"/>
    <w:pPr>
      <w:spacing w:before="120" w:after="120" w:line="276" w:lineRule="auto"/>
    </w:pPr>
  </w:style>
  <w:style w:type="character" w:customStyle="1" w:styleId="CEPAReportTextChar">
    <w:name w:val="CEPA Report Text Char"/>
    <w:basedOn w:val="DefaultParagraphFont"/>
    <w:link w:val="CEPAReportText"/>
    <w:rsid w:val="00B5364E"/>
    <w:rPr>
      <w:rFonts w:ascii="Calibri" w:hAnsi="Calibri" w:cs="Times New Roman"/>
      <w:sz w:val="24"/>
      <w:szCs w:val="24"/>
    </w:rPr>
  </w:style>
  <w:style w:type="paragraph" w:customStyle="1" w:styleId="CEPABullets">
    <w:name w:val="CEPA Bullets"/>
    <w:basedOn w:val="CEPAReportText"/>
    <w:link w:val="CEPABulletsChar1"/>
    <w:qFormat/>
    <w:rsid w:val="00B5364E"/>
    <w:pPr>
      <w:numPr>
        <w:numId w:val="19"/>
      </w:numPr>
    </w:pPr>
  </w:style>
  <w:style w:type="character" w:customStyle="1" w:styleId="CEPABulletsChar1">
    <w:name w:val="CEPA Bullets Char1"/>
    <w:basedOn w:val="CEPAReportTextChar"/>
    <w:link w:val="CEPABullets"/>
    <w:rsid w:val="00B5364E"/>
    <w:rPr>
      <w:rFonts w:ascii="Calibri" w:hAnsi="Calibri" w:cs="Times New Roman"/>
      <w:sz w:val="24"/>
      <w:szCs w:val="24"/>
    </w:rPr>
  </w:style>
  <w:style w:type="character" w:customStyle="1" w:styleId="CEPABulletsChar">
    <w:name w:val="CEPA Bullets Char"/>
    <w:basedOn w:val="CEPAReportTextChar"/>
    <w:rsid w:val="00B5364E"/>
    <w:rPr>
      <w:rFonts w:ascii="Calibri" w:hAnsi="Calibri" w:cstheme="minorHAnsi"/>
      <w:sz w:val="24"/>
      <w:szCs w:val="24"/>
      <w:lang w:eastAsia="en-US"/>
    </w:rPr>
  </w:style>
  <w:style w:type="paragraph" w:customStyle="1" w:styleId="CEPAL2bullets">
    <w:name w:val="CEPA L2 bullets"/>
    <w:basedOn w:val="CEPAReportText"/>
    <w:link w:val="CEPAL2bulletsChar"/>
    <w:rsid w:val="00B5364E"/>
    <w:pPr>
      <w:numPr>
        <w:ilvl w:val="1"/>
        <w:numId w:val="18"/>
      </w:numPr>
    </w:pPr>
  </w:style>
  <w:style w:type="character" w:customStyle="1" w:styleId="CEPAL2bulletsChar">
    <w:name w:val="CEPA L2 bullets Char"/>
    <w:basedOn w:val="CEPAReportTextChar"/>
    <w:link w:val="CEPAL2bullets"/>
    <w:rsid w:val="00B5364E"/>
    <w:rPr>
      <w:rFonts w:ascii="Calibri" w:hAnsi="Calibri" w:cs="Times New Roman"/>
      <w:sz w:val="24"/>
      <w:szCs w:val="24"/>
    </w:rPr>
  </w:style>
  <w:style w:type="paragraph" w:customStyle="1" w:styleId="CEPAnarrowmargins">
    <w:name w:val="CEPA narrow margins"/>
    <w:basedOn w:val="CEPAReportText"/>
    <w:link w:val="CEPAnarrowmarginsChar"/>
    <w:rsid w:val="00B5364E"/>
    <w:pPr>
      <w:spacing w:before="60" w:after="60" w:line="252" w:lineRule="auto"/>
    </w:pPr>
  </w:style>
  <w:style w:type="character" w:customStyle="1" w:styleId="CEPAnarrowmarginsChar">
    <w:name w:val="CEPA narrow margins Char"/>
    <w:basedOn w:val="CEPAReportTextChar"/>
    <w:link w:val="CEPAnarrowmargins"/>
    <w:rsid w:val="00B5364E"/>
    <w:rPr>
      <w:rFonts w:ascii="Calibri" w:hAnsi="Calibri" w:cs="Times New Roman"/>
      <w:sz w:val="24"/>
      <w:szCs w:val="24"/>
    </w:rPr>
  </w:style>
  <w:style w:type="paragraph" w:customStyle="1" w:styleId="CEPAsmallnoteheading">
    <w:name w:val="CEPA small note heading"/>
    <w:basedOn w:val="Normal"/>
    <w:next w:val="CEPAReportText"/>
    <w:rsid w:val="00B5364E"/>
    <w:pPr>
      <w:spacing w:before="240" w:after="240" w:line="276" w:lineRule="auto"/>
    </w:pPr>
    <w:rPr>
      <w:b/>
    </w:rPr>
  </w:style>
  <w:style w:type="paragraph" w:customStyle="1" w:styleId="CEPASubtitle">
    <w:name w:val="CEPA Subtitle"/>
    <w:basedOn w:val="CEPAReportText"/>
    <w:link w:val="CEPASubtitleChar"/>
    <w:qFormat/>
    <w:rsid w:val="00B5364E"/>
    <w:pPr>
      <w:pBdr>
        <w:bottom w:val="single" w:sz="12" w:space="1" w:color="808080"/>
      </w:pBdr>
    </w:pPr>
    <w:rPr>
      <w:b/>
      <w:smallCaps/>
      <w:sz w:val="32"/>
    </w:rPr>
  </w:style>
  <w:style w:type="character" w:customStyle="1" w:styleId="CEPASubtitleChar">
    <w:name w:val="CEPA Subtitle Char"/>
    <w:basedOn w:val="CEPAReportTextChar"/>
    <w:link w:val="CEPASubtitle"/>
    <w:rsid w:val="00B5364E"/>
    <w:rPr>
      <w:rFonts w:ascii="Calibri" w:hAnsi="Calibri" w:cs="Times New Roman"/>
      <w:b/>
      <w:smallCaps/>
      <w:sz w:val="32"/>
      <w:szCs w:val="24"/>
    </w:rPr>
  </w:style>
  <w:style w:type="paragraph" w:customStyle="1" w:styleId="CEPAtablebullets">
    <w:name w:val="CEPA table bullets"/>
    <w:basedOn w:val="CEPABullets"/>
    <w:link w:val="CEPAtablebulletsChar"/>
    <w:qFormat/>
    <w:rsid w:val="00B5364E"/>
    <w:pPr>
      <w:spacing w:before="60" w:after="60" w:line="252" w:lineRule="auto"/>
      <w:ind w:left="211" w:hanging="211"/>
    </w:pPr>
  </w:style>
  <w:style w:type="character" w:customStyle="1" w:styleId="CEPAtablebulletsChar">
    <w:name w:val="CEPA table bullets Char"/>
    <w:basedOn w:val="CEPABulletsChar1"/>
    <w:link w:val="CEPAtablebullets"/>
    <w:rsid w:val="00B5364E"/>
    <w:rPr>
      <w:rFonts w:ascii="Calibri" w:hAnsi="Calibri" w:cs="Times New Roman"/>
      <w:sz w:val="24"/>
      <w:szCs w:val="24"/>
    </w:rPr>
  </w:style>
  <w:style w:type="paragraph" w:customStyle="1" w:styleId="CEPATabletext">
    <w:name w:val="CEPA Table text"/>
    <w:basedOn w:val="Normal"/>
    <w:link w:val="CEPATabletextChar"/>
    <w:qFormat/>
    <w:rsid w:val="00B5364E"/>
    <w:pPr>
      <w:spacing w:before="60" w:after="60"/>
    </w:pPr>
    <w:rPr>
      <w:sz w:val="22"/>
    </w:rPr>
  </w:style>
  <w:style w:type="character" w:customStyle="1" w:styleId="CEPATabletextChar">
    <w:name w:val="CEPA Table text Char"/>
    <w:basedOn w:val="DefaultParagraphFont"/>
    <w:link w:val="CEPATabletext"/>
    <w:rsid w:val="00B5364E"/>
    <w:rPr>
      <w:rFonts w:ascii="Calibri" w:hAnsi="Calibri" w:cs="Times New Roman"/>
      <w:szCs w:val="24"/>
    </w:rPr>
  </w:style>
  <w:style w:type="paragraph" w:customStyle="1" w:styleId="CEPATitle">
    <w:name w:val="CEPA Title"/>
    <w:basedOn w:val="CEPAReportText"/>
    <w:link w:val="CEPATitleChar"/>
    <w:qFormat/>
    <w:rsid w:val="00B5364E"/>
    <w:rPr>
      <w:b/>
      <w:smallCaps/>
      <w:sz w:val="36"/>
    </w:rPr>
  </w:style>
  <w:style w:type="character" w:customStyle="1" w:styleId="CEPATitleChar">
    <w:name w:val="CEPA Title Char"/>
    <w:basedOn w:val="CEPAReportTextChar"/>
    <w:link w:val="CEPATitle"/>
    <w:rsid w:val="00B5364E"/>
    <w:rPr>
      <w:rFonts w:ascii="Calibri" w:hAnsi="Calibri" w:cs="Times New Roman"/>
      <w:b/>
      <w:smallCaps/>
      <w:sz w:val="36"/>
      <w:szCs w:val="24"/>
    </w:rPr>
  </w:style>
  <w:style w:type="character" w:styleId="CommentReference">
    <w:name w:val="annotation reference"/>
    <w:basedOn w:val="DefaultParagraphFont"/>
    <w:rsid w:val="00B5364E"/>
    <w:rPr>
      <w:sz w:val="16"/>
      <w:szCs w:val="16"/>
    </w:rPr>
  </w:style>
  <w:style w:type="paragraph" w:styleId="CommentText">
    <w:name w:val="annotation text"/>
    <w:basedOn w:val="Normal"/>
    <w:link w:val="CommentTextChar"/>
    <w:rsid w:val="00B5364E"/>
    <w:rPr>
      <w:sz w:val="20"/>
      <w:szCs w:val="20"/>
    </w:rPr>
  </w:style>
  <w:style w:type="character" w:customStyle="1" w:styleId="CommentTextChar">
    <w:name w:val="Comment Text Char"/>
    <w:basedOn w:val="DefaultParagraphFont"/>
    <w:link w:val="CommentText"/>
    <w:rsid w:val="00B5364E"/>
    <w:rPr>
      <w:rFonts w:ascii="Calibri" w:hAnsi="Calibri" w:cs="Times New Roman"/>
      <w:sz w:val="20"/>
      <w:szCs w:val="20"/>
    </w:rPr>
  </w:style>
  <w:style w:type="paragraph" w:styleId="CommentSubject">
    <w:name w:val="annotation subject"/>
    <w:basedOn w:val="CommentText"/>
    <w:next w:val="CommentText"/>
    <w:link w:val="CommentSubjectChar"/>
    <w:uiPriority w:val="99"/>
    <w:rsid w:val="00B5364E"/>
    <w:rPr>
      <w:b/>
      <w:bCs/>
    </w:rPr>
  </w:style>
  <w:style w:type="character" w:customStyle="1" w:styleId="CommentSubjectChar">
    <w:name w:val="Comment Subject Char"/>
    <w:basedOn w:val="CommentTextChar"/>
    <w:link w:val="CommentSubject"/>
    <w:uiPriority w:val="99"/>
    <w:rsid w:val="00B5364E"/>
    <w:rPr>
      <w:rFonts w:ascii="Calibri" w:hAnsi="Calibri" w:cs="Times New Roman"/>
      <w:b/>
      <w:bCs/>
      <w:sz w:val="20"/>
      <w:szCs w:val="20"/>
    </w:rPr>
  </w:style>
  <w:style w:type="paragraph" w:styleId="Footer">
    <w:name w:val="footer"/>
    <w:basedOn w:val="Normal"/>
    <w:link w:val="FooterChar"/>
    <w:uiPriority w:val="99"/>
    <w:rsid w:val="00B5364E"/>
    <w:pPr>
      <w:tabs>
        <w:tab w:val="center" w:pos="4513"/>
        <w:tab w:val="right" w:pos="9026"/>
      </w:tabs>
    </w:pPr>
  </w:style>
  <w:style w:type="character" w:customStyle="1" w:styleId="FooterChar">
    <w:name w:val="Footer Char"/>
    <w:basedOn w:val="DefaultParagraphFont"/>
    <w:link w:val="Footer"/>
    <w:uiPriority w:val="99"/>
    <w:rsid w:val="00B5364E"/>
    <w:rPr>
      <w:rFonts w:ascii="Calibri" w:hAnsi="Calibri" w:cs="Times New Roman"/>
      <w:sz w:val="24"/>
      <w:szCs w:val="24"/>
    </w:rPr>
  </w:style>
  <w:style w:type="character" w:styleId="FootnoteReference">
    <w:name w:val="footnote reference"/>
    <w:aliases w:val="ftref"/>
    <w:basedOn w:val="DefaultParagraphFont"/>
    <w:uiPriority w:val="99"/>
    <w:rsid w:val="00B5364E"/>
    <w:rPr>
      <w:vertAlign w:val="superscript"/>
    </w:rPr>
  </w:style>
  <w:style w:type="paragraph" w:styleId="FootnoteText">
    <w:name w:val="footnote text"/>
    <w:aliases w:val="single space,fn,FOOTNOTES,Footnote,Footnote Text qer,ft,Footnote Text Char Char Char Char Char Char Char Char Char Char,ADB,WB-Fußnotentext,Fußnote,WB-Fuﬂnotentext,Fuﬂnote,Footnote Text Char Char Char,Char,Footnote ak,footnote text Char"/>
    <w:basedOn w:val="Normal"/>
    <w:link w:val="FootnoteTextChar"/>
    <w:uiPriority w:val="99"/>
    <w:rsid w:val="00B5364E"/>
    <w:rPr>
      <w:sz w:val="20"/>
      <w:szCs w:val="20"/>
    </w:rPr>
  </w:style>
  <w:style w:type="character" w:customStyle="1" w:styleId="FootnoteTextChar">
    <w:name w:val="Footnote Text Char"/>
    <w:aliases w:val="single space Char,fn Char,FOOTNOTES Char,Footnote Char,Footnote Text qer Char,ft Char,Footnote Text Char Char Char Char Char Char Char Char Char Char Char,ADB Char,WB-Fußnotentext Char,Fußnote Char,WB-Fuﬂnotentext Char,Fuﬂnote Char"/>
    <w:basedOn w:val="DefaultParagraphFont"/>
    <w:link w:val="FootnoteText"/>
    <w:uiPriority w:val="99"/>
    <w:rsid w:val="00B5364E"/>
    <w:rPr>
      <w:rFonts w:ascii="Calibri" w:hAnsi="Calibri" w:cs="Times New Roman"/>
      <w:sz w:val="20"/>
      <w:szCs w:val="20"/>
    </w:rPr>
  </w:style>
  <w:style w:type="paragraph" w:styleId="Header">
    <w:name w:val="header"/>
    <w:aliases w:val="CEPA Header,Header Tahoma,Name,Tab Title"/>
    <w:basedOn w:val="Normal"/>
    <w:link w:val="HeaderChar"/>
    <w:uiPriority w:val="99"/>
    <w:rsid w:val="00B5364E"/>
    <w:pPr>
      <w:tabs>
        <w:tab w:val="center" w:pos="4513"/>
        <w:tab w:val="right" w:pos="9026"/>
      </w:tabs>
    </w:pPr>
  </w:style>
  <w:style w:type="character" w:customStyle="1" w:styleId="HeaderChar">
    <w:name w:val="Header Char"/>
    <w:aliases w:val="CEPA Header Char,Header Tahoma Char,Name Char,Tab Title Char"/>
    <w:basedOn w:val="DefaultParagraphFont"/>
    <w:link w:val="Header"/>
    <w:uiPriority w:val="99"/>
    <w:rsid w:val="00B5364E"/>
    <w:rPr>
      <w:rFonts w:ascii="Calibri" w:hAnsi="Calibri" w:cs="Times New Roman"/>
      <w:sz w:val="24"/>
      <w:szCs w:val="24"/>
    </w:rPr>
  </w:style>
  <w:style w:type="character" w:customStyle="1" w:styleId="Heading1Char">
    <w:name w:val="Heading 1 Char"/>
    <w:aliases w:val="CEPA 1 Char, CEPA 1 Char,Lizzie's HEADER 1 Char,Section Char,1 Char,2 Char,Section Heading Char,11 Char, 1 Char, 11 Char, 2 Char"/>
    <w:basedOn w:val="DefaultParagraphFont"/>
    <w:link w:val="Heading1"/>
    <w:rsid w:val="00B5364E"/>
    <w:rPr>
      <w:rFonts w:ascii="Calibri" w:hAnsi="Calibri" w:cs="Arial"/>
      <w:b/>
      <w:bCs/>
      <w:smallCaps/>
      <w:kern w:val="32"/>
      <w:sz w:val="28"/>
      <w:szCs w:val="28"/>
    </w:rPr>
  </w:style>
  <w:style w:type="character" w:customStyle="1" w:styleId="Heading2Char">
    <w:name w:val="Heading 2 Char"/>
    <w:aliases w:val="CEPA 2 Char, CEPA 2 Char,LIZZIE HEADER 2 Char,an_Über 2 Char,Major Char,an_†ber 2 Char,Centerhead Char"/>
    <w:basedOn w:val="DefaultParagraphFont"/>
    <w:link w:val="Heading2"/>
    <w:rsid w:val="00B5364E"/>
    <w:rPr>
      <w:rFonts w:ascii="Calibri" w:hAnsi="Calibri" w:cs="Arial"/>
      <w:b/>
      <w:bCs/>
      <w:iCs/>
      <w:sz w:val="24"/>
      <w:szCs w:val="28"/>
    </w:rPr>
  </w:style>
  <w:style w:type="character" w:customStyle="1" w:styleId="Heading3Char">
    <w:name w:val="Heading 3 Char"/>
    <w:aliases w:val="CEPA 3 Char, CEPA 3 Char,an_Über 3 Char,Minor Char,an_†ber 3 Char"/>
    <w:basedOn w:val="DefaultParagraphFont"/>
    <w:link w:val="Heading3"/>
    <w:rsid w:val="00B5364E"/>
    <w:rPr>
      <w:rFonts w:ascii="Calibri" w:hAnsi="Calibri" w:cs="Arial"/>
      <w:b/>
      <w:bCs/>
      <w:sz w:val="24"/>
      <w:szCs w:val="26"/>
    </w:rPr>
  </w:style>
  <w:style w:type="character" w:customStyle="1" w:styleId="Heading4Char">
    <w:name w:val="Heading 4 Char"/>
    <w:aliases w:val="CEPA 4 Char, CEPA 4 Char"/>
    <w:basedOn w:val="DefaultParagraphFont"/>
    <w:link w:val="Heading4"/>
    <w:rsid w:val="00B5364E"/>
    <w:rPr>
      <w:rFonts w:ascii="Calibri" w:hAnsi="Calibri" w:cs="Times New Roman"/>
      <w:b/>
      <w:bCs/>
      <w:color w:val="275792"/>
      <w:sz w:val="24"/>
      <w:szCs w:val="28"/>
    </w:rPr>
  </w:style>
  <w:style w:type="character" w:customStyle="1" w:styleId="Heading7Char">
    <w:name w:val="Heading 7 Char"/>
    <w:aliases w:val="CEPA Annex L1 Char"/>
    <w:basedOn w:val="DefaultParagraphFont"/>
    <w:link w:val="Heading7"/>
    <w:rsid w:val="00B5364E"/>
    <w:rPr>
      <w:rFonts w:eastAsiaTheme="majorEastAsia" w:cstheme="majorBidi"/>
      <w:b/>
      <w:iCs/>
      <w:smallCaps/>
      <w:sz w:val="28"/>
      <w:szCs w:val="24"/>
    </w:rPr>
  </w:style>
  <w:style w:type="character" w:customStyle="1" w:styleId="Heading8Char">
    <w:name w:val="Heading 8 Char"/>
    <w:aliases w:val="CEPA Annex L2 Char"/>
    <w:basedOn w:val="DefaultParagraphFont"/>
    <w:link w:val="Heading8"/>
    <w:rsid w:val="00B5364E"/>
    <w:rPr>
      <w:rFonts w:eastAsiaTheme="majorEastAsia" w:cstheme="majorBidi"/>
      <w:b/>
      <w:color w:val="316EB9" w:themeColor="text1" w:themeTint="D8"/>
      <w:sz w:val="24"/>
      <w:szCs w:val="21"/>
    </w:rPr>
  </w:style>
  <w:style w:type="character" w:customStyle="1" w:styleId="Heading9Char">
    <w:name w:val="Heading 9 Char"/>
    <w:aliases w:val="CEPA Annex L3 Char"/>
    <w:basedOn w:val="DefaultParagraphFont"/>
    <w:link w:val="Heading9"/>
    <w:rsid w:val="00B5364E"/>
    <w:rPr>
      <w:rFonts w:cs="Times New Roman"/>
      <w:b/>
      <w:iCs/>
      <w:sz w:val="24"/>
      <w:szCs w:val="24"/>
    </w:rPr>
  </w:style>
  <w:style w:type="character" w:styleId="Hyperlink">
    <w:name w:val="Hyperlink"/>
    <w:basedOn w:val="DefaultParagraphFont"/>
    <w:uiPriority w:val="99"/>
    <w:unhideWhenUsed/>
    <w:rsid w:val="00B5364E"/>
    <w:rPr>
      <w:color w:val="4186CD" w:themeColor="hyperlink"/>
      <w:u w:val="single"/>
    </w:rPr>
  </w:style>
  <w:style w:type="paragraph" w:styleId="ListParagraph">
    <w:name w:val="List Paragraph"/>
    <w:aliases w:val="Graphic,List Paragraph1"/>
    <w:basedOn w:val="Normal"/>
    <w:link w:val="ListParagraphChar"/>
    <w:uiPriority w:val="34"/>
    <w:qFormat/>
    <w:rsid w:val="00B5364E"/>
    <w:pPr>
      <w:jc w:val="left"/>
    </w:pPr>
    <w:rPr>
      <w:rFonts w:eastAsiaTheme="minorHAnsi"/>
      <w:sz w:val="22"/>
      <w:szCs w:val="22"/>
    </w:rPr>
  </w:style>
  <w:style w:type="character" w:styleId="PageNumber">
    <w:name w:val="page number"/>
    <w:aliases w:val="CEPA"/>
    <w:basedOn w:val="DefaultParagraphFont"/>
    <w:rsid w:val="00B5364E"/>
    <w:rPr>
      <w:rFonts w:asciiTheme="minorHAnsi" w:hAnsiTheme="minorHAnsi"/>
      <w:sz w:val="22"/>
    </w:rPr>
  </w:style>
  <w:style w:type="numbering" w:customStyle="1" w:styleId="StyleCEPA-BulletsOutlinenumberedBold">
    <w:name w:val="Style CEPA - Bullets + Outline numbered Bold"/>
    <w:basedOn w:val="NoList"/>
    <w:rsid w:val="00B5364E"/>
    <w:pPr>
      <w:numPr>
        <w:numId w:val="5"/>
      </w:numPr>
    </w:pPr>
  </w:style>
  <w:style w:type="table" w:styleId="TableGrid">
    <w:name w:val="Table Grid"/>
    <w:aliases w:val="Table Grid CEPA"/>
    <w:basedOn w:val="TableNormal"/>
    <w:uiPriority w:val="59"/>
    <w:rsid w:val="00B5364E"/>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5364E"/>
    <w:pPr>
      <w:spacing w:before="120" w:after="120"/>
    </w:pPr>
    <w:rPr>
      <w:rFonts w:cs="Calibri"/>
      <w:b/>
    </w:rPr>
  </w:style>
  <w:style w:type="paragraph" w:styleId="TOC2">
    <w:name w:val="toc 2"/>
    <w:basedOn w:val="Normal"/>
    <w:next w:val="Normal"/>
    <w:uiPriority w:val="39"/>
    <w:rsid w:val="00B5364E"/>
    <w:pPr>
      <w:spacing w:before="120" w:after="120"/>
      <w:ind w:left="238"/>
    </w:pPr>
    <w:rPr>
      <w:rFonts w:cs="Calibri"/>
    </w:rPr>
  </w:style>
  <w:style w:type="paragraph" w:styleId="TOC3">
    <w:name w:val="toc 3"/>
    <w:basedOn w:val="Normal"/>
    <w:next w:val="Normal"/>
    <w:autoRedefine/>
    <w:uiPriority w:val="39"/>
    <w:unhideWhenUsed/>
    <w:rsid w:val="00B5364E"/>
    <w:pPr>
      <w:spacing w:after="100"/>
      <w:ind w:left="480"/>
    </w:pPr>
    <w:rPr>
      <w:rFonts w:ascii="Garamond" w:hAnsi="Garamond"/>
    </w:rPr>
  </w:style>
  <w:style w:type="paragraph" w:styleId="TOC4">
    <w:name w:val="toc 4"/>
    <w:basedOn w:val="Normal"/>
    <w:next w:val="Normal"/>
    <w:autoRedefine/>
    <w:uiPriority w:val="39"/>
    <w:rsid w:val="00B5364E"/>
    <w:pPr>
      <w:spacing w:after="100"/>
      <w:ind w:left="720"/>
    </w:pPr>
  </w:style>
  <w:style w:type="paragraph" w:styleId="TOC5">
    <w:name w:val="toc 5"/>
    <w:basedOn w:val="Normal"/>
    <w:next w:val="Normal"/>
    <w:autoRedefine/>
    <w:uiPriority w:val="39"/>
    <w:rsid w:val="00B5364E"/>
    <w:pPr>
      <w:spacing w:after="100"/>
      <w:ind w:left="960"/>
    </w:pPr>
  </w:style>
  <w:style w:type="paragraph" w:styleId="TOC6">
    <w:name w:val="toc 6"/>
    <w:basedOn w:val="Normal"/>
    <w:next w:val="Normal"/>
    <w:autoRedefine/>
    <w:uiPriority w:val="39"/>
    <w:rsid w:val="00B5364E"/>
    <w:pPr>
      <w:spacing w:after="100"/>
      <w:ind w:left="1200"/>
    </w:pPr>
  </w:style>
  <w:style w:type="paragraph" w:styleId="TOC7">
    <w:name w:val="toc 7"/>
    <w:basedOn w:val="Normal"/>
    <w:next w:val="Normal"/>
    <w:autoRedefine/>
    <w:uiPriority w:val="39"/>
    <w:rsid w:val="00B5364E"/>
    <w:pPr>
      <w:spacing w:after="100"/>
      <w:ind w:left="1440"/>
    </w:pPr>
  </w:style>
  <w:style w:type="paragraph" w:styleId="TOC8">
    <w:name w:val="toc 8"/>
    <w:basedOn w:val="Normal"/>
    <w:next w:val="Normal"/>
    <w:autoRedefine/>
    <w:uiPriority w:val="39"/>
    <w:rsid w:val="00B5364E"/>
    <w:pPr>
      <w:spacing w:after="100"/>
      <w:ind w:left="1680"/>
    </w:pPr>
  </w:style>
  <w:style w:type="paragraph" w:styleId="TOC9">
    <w:name w:val="toc 9"/>
    <w:basedOn w:val="Normal"/>
    <w:next w:val="Normal"/>
    <w:autoRedefine/>
    <w:uiPriority w:val="39"/>
    <w:rsid w:val="00B5364E"/>
    <w:pPr>
      <w:spacing w:after="100"/>
      <w:ind w:left="1920"/>
    </w:pPr>
  </w:style>
  <w:style w:type="character" w:customStyle="1" w:styleId="Heading5Char">
    <w:name w:val="Heading 5 Char"/>
    <w:basedOn w:val="DefaultParagraphFont"/>
    <w:link w:val="Heading5"/>
    <w:uiPriority w:val="9"/>
    <w:rsid w:val="009B4AF0"/>
    <w:rPr>
      <w:rFonts w:asciiTheme="majorHAnsi" w:eastAsiaTheme="majorEastAsia" w:hAnsiTheme="majorHAnsi" w:cstheme="majorBidi"/>
      <w:color w:val="3F3F3F" w:themeColor="accent1" w:themeShade="7F"/>
      <w:lang w:eastAsia="en-GB"/>
    </w:rPr>
  </w:style>
  <w:style w:type="character" w:customStyle="1" w:styleId="Heading6Char">
    <w:name w:val="Heading 6 Char"/>
    <w:basedOn w:val="DefaultParagraphFont"/>
    <w:link w:val="Heading6"/>
    <w:uiPriority w:val="9"/>
    <w:rsid w:val="009B4AF0"/>
    <w:rPr>
      <w:rFonts w:asciiTheme="majorHAnsi" w:eastAsiaTheme="majorEastAsia" w:hAnsiTheme="majorHAnsi" w:cstheme="majorBidi"/>
      <w:i/>
      <w:iCs/>
      <w:color w:val="3F3F3F" w:themeColor="accent1" w:themeShade="7F"/>
      <w:lang w:eastAsia="en-GB"/>
    </w:rPr>
  </w:style>
  <w:style w:type="paragraph" w:customStyle="1" w:styleId="CEPAtabbullets">
    <w:name w:val="CEPA tab bullets"/>
    <w:basedOn w:val="CEPABullets"/>
    <w:link w:val="CEPAtabbulletsChar"/>
    <w:qFormat/>
    <w:rsid w:val="00B5364E"/>
    <w:pPr>
      <w:numPr>
        <w:numId w:val="0"/>
      </w:numPr>
      <w:spacing w:before="0" w:after="0" w:line="240" w:lineRule="auto"/>
      <w:jc w:val="left"/>
    </w:pPr>
    <w:rPr>
      <w:lang w:eastAsia="en-GB"/>
    </w:rPr>
  </w:style>
  <w:style w:type="character" w:customStyle="1" w:styleId="CEPAtabbulletsChar">
    <w:name w:val="CEPA tab bullets Char"/>
    <w:basedOn w:val="CEPAtablebulletsChar"/>
    <w:link w:val="CEPAtabbullets"/>
    <w:rsid w:val="00B5364E"/>
    <w:rPr>
      <w:rFonts w:ascii="Calibri" w:hAnsi="Calibri" w:cs="Times New Roman"/>
      <w:sz w:val="24"/>
      <w:szCs w:val="24"/>
      <w:lang w:eastAsia="en-GB"/>
    </w:rPr>
  </w:style>
  <w:style w:type="paragraph" w:customStyle="1" w:styleId="CEPATableBullet">
    <w:name w:val="CEPA Table Bullet"/>
    <w:basedOn w:val="CEPATabletext"/>
    <w:qFormat/>
    <w:rsid w:val="009B4AF0"/>
    <w:pPr>
      <w:widowControl w:val="0"/>
      <w:numPr>
        <w:numId w:val="6"/>
      </w:numPr>
      <w:adjustRightInd w:val="0"/>
      <w:spacing w:before="40" w:after="40"/>
      <w:jc w:val="left"/>
      <w:textAlignment w:val="baseline"/>
    </w:pPr>
    <w:rPr>
      <w:rFonts w:ascii="Garamond" w:hAnsi="Garamond"/>
      <w:sz w:val="20"/>
      <w:szCs w:val="22"/>
      <w:lang w:eastAsia="en-GB"/>
    </w:rPr>
  </w:style>
  <w:style w:type="character" w:customStyle="1" w:styleId="ListParagraphChar">
    <w:name w:val="List Paragraph Char"/>
    <w:aliases w:val="Graphic Char,List Paragraph1 Char"/>
    <w:link w:val="ListParagraph"/>
    <w:uiPriority w:val="34"/>
    <w:locked/>
    <w:rsid w:val="009B4AF0"/>
    <w:rPr>
      <w:rFonts w:ascii="Calibri" w:eastAsiaTheme="minorHAnsi" w:hAnsi="Calibri" w:cs="Times New Roman"/>
    </w:rPr>
  </w:style>
  <w:style w:type="paragraph" w:customStyle="1" w:styleId="TableBoxText">
    <w:name w:val="Table/Box Text"/>
    <w:basedOn w:val="Normal"/>
    <w:uiPriority w:val="99"/>
    <w:semiHidden/>
    <w:rsid w:val="009B4AF0"/>
    <w:pPr>
      <w:spacing w:before="60" w:after="60"/>
    </w:pPr>
    <w:rPr>
      <w:rFonts w:asciiTheme="minorHAnsi" w:hAnsiTheme="minorHAnsi"/>
      <w:sz w:val="22"/>
    </w:rPr>
  </w:style>
  <w:style w:type="paragraph" w:customStyle="1" w:styleId="IndentedreferenceHISHub">
    <w:name w:val="Indented reference HIS Hub"/>
    <w:basedOn w:val="Normal"/>
    <w:link w:val="IndentedreferenceHISHubChar"/>
    <w:rsid w:val="009B4AF0"/>
    <w:pPr>
      <w:spacing w:after="200" w:line="252" w:lineRule="auto"/>
      <w:ind w:left="567" w:hanging="567"/>
      <w:jc w:val="left"/>
    </w:pPr>
    <w:rPr>
      <w:sz w:val="22"/>
      <w:szCs w:val="20"/>
      <w:lang w:val="en-AU"/>
    </w:rPr>
  </w:style>
  <w:style w:type="character" w:customStyle="1" w:styleId="IndentedreferenceHISHubChar">
    <w:name w:val="Indented reference HIS Hub Char"/>
    <w:basedOn w:val="DefaultParagraphFont"/>
    <w:link w:val="IndentedreferenceHISHub"/>
    <w:rsid w:val="009B4AF0"/>
    <w:rPr>
      <w:rFonts w:ascii="Calibri" w:hAnsi="Calibri" w:cs="Times New Roman"/>
      <w:szCs w:val="20"/>
      <w:lang w:val="en-AU"/>
    </w:rPr>
  </w:style>
  <w:style w:type="paragraph" w:customStyle="1" w:styleId="Pa1">
    <w:name w:val="Pa1"/>
    <w:basedOn w:val="Normal"/>
    <w:next w:val="Normal"/>
    <w:uiPriority w:val="99"/>
    <w:rsid w:val="009B4AF0"/>
    <w:pPr>
      <w:autoSpaceDE w:val="0"/>
      <w:autoSpaceDN w:val="0"/>
      <w:adjustRightInd w:val="0"/>
      <w:spacing w:line="141" w:lineRule="atLeast"/>
      <w:jc w:val="left"/>
    </w:pPr>
    <w:rPr>
      <w:rFonts w:ascii="HelveticaNeueLT Std Cn" w:eastAsia="Cambria" w:hAnsi="HelveticaNeueLT Std Cn" w:cs="Arial"/>
      <w:lang w:eastAsia="en-GB"/>
    </w:rPr>
  </w:style>
  <w:style w:type="paragraph" w:customStyle="1" w:styleId="desc">
    <w:name w:val="desc"/>
    <w:basedOn w:val="Normal"/>
    <w:rsid w:val="009B4AF0"/>
    <w:pPr>
      <w:spacing w:before="100" w:beforeAutospacing="1" w:after="100" w:afterAutospacing="1"/>
      <w:jc w:val="left"/>
    </w:pPr>
    <w:rPr>
      <w:rFonts w:ascii="Times New Roman" w:hAnsi="Times New Roman"/>
      <w:lang w:eastAsia="en-GB"/>
    </w:rPr>
  </w:style>
  <w:style w:type="character" w:customStyle="1" w:styleId="CEPADiagramLabelChar">
    <w:name w:val="CEPA Diagram Label Char"/>
    <w:basedOn w:val="DefaultParagraphFont"/>
    <w:link w:val="CEPADiagramLabel"/>
    <w:locked/>
    <w:rsid w:val="009B4AF0"/>
    <w:rPr>
      <w:rFonts w:ascii="Calibri" w:hAnsi="Calibri" w:cs="Times New Roman"/>
      <w:i/>
      <w:szCs w:val="24"/>
    </w:rPr>
  </w:style>
  <w:style w:type="paragraph" w:styleId="Revision">
    <w:name w:val="Revision"/>
    <w:hidden/>
    <w:uiPriority w:val="99"/>
    <w:semiHidden/>
    <w:rsid w:val="009B4AF0"/>
    <w:pPr>
      <w:spacing w:after="0" w:line="240" w:lineRule="auto"/>
    </w:pPr>
    <w:rPr>
      <w:rFonts w:ascii="Calibri" w:eastAsiaTheme="minorHAnsi" w:hAnsi="Calibri" w:cs="Times New Roman"/>
      <w:lang w:eastAsia="en-GB"/>
    </w:rPr>
  </w:style>
  <w:style w:type="paragraph" w:styleId="Subtitle">
    <w:name w:val="Subtitle"/>
    <w:basedOn w:val="Normal"/>
    <w:next w:val="Normal"/>
    <w:link w:val="SubtitleChar"/>
    <w:uiPriority w:val="11"/>
    <w:qFormat/>
    <w:rsid w:val="009B4AF0"/>
    <w:pPr>
      <w:numPr>
        <w:ilvl w:val="1"/>
      </w:numPr>
      <w:jc w:val="left"/>
    </w:pPr>
    <w:rPr>
      <w:rFonts w:asciiTheme="majorHAnsi" w:eastAsiaTheme="majorEastAsia" w:hAnsiTheme="majorHAnsi" w:cstheme="majorBidi"/>
      <w:i/>
      <w:iCs/>
      <w:color w:val="7F7F7F" w:themeColor="accent1"/>
      <w:spacing w:val="15"/>
      <w:lang w:eastAsia="en-GB"/>
    </w:rPr>
  </w:style>
  <w:style w:type="character" w:customStyle="1" w:styleId="SubtitleChar">
    <w:name w:val="Subtitle Char"/>
    <w:basedOn w:val="DefaultParagraphFont"/>
    <w:link w:val="Subtitle"/>
    <w:uiPriority w:val="11"/>
    <w:rsid w:val="009B4AF0"/>
    <w:rPr>
      <w:rFonts w:asciiTheme="majorHAnsi" w:eastAsiaTheme="majorEastAsia" w:hAnsiTheme="majorHAnsi" w:cstheme="majorBidi"/>
      <w:i/>
      <w:iCs/>
      <w:color w:val="7F7F7F" w:themeColor="accent1"/>
      <w:spacing w:val="15"/>
      <w:sz w:val="24"/>
      <w:szCs w:val="24"/>
      <w:lang w:eastAsia="en-GB"/>
    </w:rPr>
  </w:style>
  <w:style w:type="character" w:styleId="HTMLCite">
    <w:name w:val="HTML Cite"/>
    <w:basedOn w:val="DefaultParagraphFont"/>
    <w:uiPriority w:val="99"/>
    <w:semiHidden/>
    <w:unhideWhenUsed/>
    <w:rsid w:val="009B4AF0"/>
    <w:rPr>
      <w:i/>
      <w:iCs/>
    </w:rPr>
  </w:style>
  <w:style w:type="character" w:styleId="FollowedHyperlink">
    <w:name w:val="FollowedHyperlink"/>
    <w:basedOn w:val="DefaultParagraphFont"/>
    <w:uiPriority w:val="99"/>
    <w:semiHidden/>
    <w:unhideWhenUsed/>
    <w:rsid w:val="009B4AF0"/>
    <w:rPr>
      <w:color w:val="C00000" w:themeColor="followedHyperlink"/>
      <w:u w:val="single"/>
    </w:rPr>
  </w:style>
  <w:style w:type="paragraph" w:customStyle="1" w:styleId="Default">
    <w:name w:val="Default"/>
    <w:rsid w:val="009B4AF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B4AF0"/>
    <w:pPr>
      <w:spacing w:before="100" w:beforeAutospacing="1" w:after="100" w:afterAutospacing="1"/>
      <w:jc w:val="left"/>
    </w:pPr>
    <w:rPr>
      <w:rFonts w:ascii="Times" w:hAnsi="Times"/>
      <w:sz w:val="20"/>
      <w:szCs w:val="20"/>
    </w:rPr>
  </w:style>
  <w:style w:type="paragraph" w:customStyle="1" w:styleId="CEPABoxBullet">
    <w:name w:val="CEPA Box Bullet"/>
    <w:basedOn w:val="CEPAReportText"/>
    <w:qFormat/>
    <w:rsid w:val="009B4AF0"/>
    <w:pPr>
      <w:numPr>
        <w:numId w:val="7"/>
      </w:numPr>
      <w:spacing w:before="60" w:after="60"/>
    </w:pPr>
    <w:rPr>
      <w:rFonts w:ascii="Garamond" w:hAnsi="Garamond"/>
      <w:kern w:val="32"/>
      <w:sz w:val="22"/>
      <w:szCs w:val="22"/>
    </w:rPr>
  </w:style>
  <w:style w:type="paragraph" w:styleId="EndnoteText">
    <w:name w:val="endnote text"/>
    <w:basedOn w:val="Normal"/>
    <w:link w:val="EndnoteTextChar"/>
    <w:uiPriority w:val="99"/>
    <w:unhideWhenUsed/>
    <w:rsid w:val="009B4AF0"/>
  </w:style>
  <w:style w:type="character" w:customStyle="1" w:styleId="EndnoteTextChar">
    <w:name w:val="Endnote Text Char"/>
    <w:basedOn w:val="DefaultParagraphFont"/>
    <w:link w:val="EndnoteText"/>
    <w:uiPriority w:val="99"/>
    <w:rsid w:val="009B4AF0"/>
    <w:rPr>
      <w:rFonts w:ascii="Calibri" w:hAnsi="Calibri" w:cs="Times New Roman"/>
      <w:sz w:val="24"/>
      <w:szCs w:val="24"/>
    </w:rPr>
  </w:style>
  <w:style w:type="character" w:styleId="EndnoteReference">
    <w:name w:val="endnote reference"/>
    <w:basedOn w:val="DefaultParagraphFont"/>
    <w:uiPriority w:val="99"/>
    <w:unhideWhenUsed/>
    <w:rsid w:val="009B4AF0"/>
    <w:rPr>
      <w:vertAlign w:val="superscript"/>
    </w:rPr>
  </w:style>
  <w:style w:type="table" w:customStyle="1" w:styleId="TableGridLight1">
    <w:name w:val="Table Grid Light1"/>
    <w:basedOn w:val="TableNormal"/>
    <w:next w:val="TableGridLight2"/>
    <w:uiPriority w:val="40"/>
    <w:rsid w:val="009B4AF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99"/>
    <w:rsid w:val="009B4A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oxLabel">
    <w:name w:val="Table/Box Label"/>
    <w:basedOn w:val="Normal"/>
    <w:semiHidden/>
    <w:rsid w:val="009B4AF0"/>
    <w:pPr>
      <w:spacing w:before="60" w:after="60"/>
    </w:pPr>
    <w:rPr>
      <w:i/>
      <w:sz w:val="22"/>
    </w:rPr>
  </w:style>
  <w:style w:type="paragraph" w:customStyle="1" w:styleId="TableBoxTitle">
    <w:name w:val="Table/Box Title"/>
    <w:basedOn w:val="Normal"/>
    <w:semiHidden/>
    <w:rsid w:val="009B4AF0"/>
    <w:pPr>
      <w:spacing w:before="60" w:after="60"/>
    </w:pPr>
    <w:rPr>
      <w:b/>
      <w:sz w:val="22"/>
    </w:rPr>
  </w:style>
  <w:style w:type="table" w:customStyle="1" w:styleId="TableGridCEPA2">
    <w:name w:val="Table Grid CEPA2"/>
    <w:basedOn w:val="TableNormal"/>
    <w:next w:val="TableGrid"/>
    <w:uiPriority w:val="59"/>
    <w:rsid w:val="009B4AF0"/>
    <w:pPr>
      <w:spacing w:before="120" w:after="120" w:line="240" w:lineRule="auto"/>
    </w:pPr>
    <w:rPr>
      <w:rFonts w:cs="Times New Roman"/>
      <w:color w:val="275792" w:themeColor="text1"/>
      <w:szCs w:val="20"/>
      <w:lang w:eastAsia="en-GB"/>
    </w:rPr>
    <w:tblPr>
      <w:tblBorders>
        <w:top w:val="single" w:sz="4" w:space="0" w:color="92D050" w:themeColor="accent3"/>
        <w:left w:val="single" w:sz="4" w:space="0" w:color="92D050" w:themeColor="accent3"/>
        <w:bottom w:val="single" w:sz="4" w:space="0" w:color="92D050" w:themeColor="accent3"/>
        <w:right w:val="single" w:sz="4" w:space="0" w:color="92D050" w:themeColor="accent3"/>
        <w:insideH w:val="single" w:sz="4" w:space="0" w:color="92D050" w:themeColor="accent3"/>
        <w:insideV w:val="single" w:sz="4" w:space="0" w:color="92D050" w:themeColor="accent3"/>
      </w:tblBorders>
    </w:tblPr>
    <w:tblStylePr w:type="firstRow">
      <w:rPr>
        <w:rFonts w:asciiTheme="minorHAnsi" w:hAnsiTheme="minorHAnsi"/>
        <w:b/>
        <w:color w:val="FFFFFF"/>
        <w:sz w:val="22"/>
      </w:rPr>
      <w:tblPr/>
      <w:tcPr>
        <w:shd w:val="clear" w:color="auto" w:fill="4186CD"/>
      </w:tcPr>
    </w:tblStylePr>
  </w:style>
  <w:style w:type="table" w:customStyle="1" w:styleId="TableGridCEPA1">
    <w:name w:val="Table Grid CEPA1"/>
    <w:basedOn w:val="TableNormal"/>
    <w:next w:val="TableGrid"/>
    <w:uiPriority w:val="59"/>
    <w:rsid w:val="009B4AF0"/>
    <w:pPr>
      <w:spacing w:before="120" w:after="120" w:line="240" w:lineRule="auto"/>
    </w:pPr>
    <w:rPr>
      <w:rFonts w:cs="Times New Roman"/>
      <w:color w:val="275792" w:themeColor="text1"/>
      <w:szCs w:val="20"/>
      <w:lang w:eastAsia="en-GB"/>
    </w:rPr>
    <w:tblPr>
      <w:tblBorders>
        <w:top w:val="single" w:sz="4" w:space="0" w:color="92D050" w:themeColor="accent3"/>
        <w:left w:val="single" w:sz="4" w:space="0" w:color="92D050" w:themeColor="accent3"/>
        <w:bottom w:val="single" w:sz="4" w:space="0" w:color="92D050" w:themeColor="accent3"/>
        <w:right w:val="single" w:sz="4" w:space="0" w:color="92D050" w:themeColor="accent3"/>
        <w:insideH w:val="single" w:sz="4" w:space="0" w:color="92D050" w:themeColor="accent3"/>
        <w:insideV w:val="single" w:sz="4" w:space="0" w:color="92D050" w:themeColor="accent3"/>
      </w:tblBorders>
    </w:tblPr>
    <w:tblStylePr w:type="firstRow">
      <w:rPr>
        <w:rFonts w:asciiTheme="minorHAnsi" w:hAnsiTheme="minorHAnsi"/>
        <w:b/>
        <w:color w:val="FFFFFF"/>
        <w:sz w:val="22"/>
      </w:rPr>
      <w:tblPr/>
      <w:tcPr>
        <w:shd w:val="clear" w:color="auto" w:fill="4186CD"/>
      </w:tcPr>
    </w:tblStylePr>
  </w:style>
  <w:style w:type="character" w:customStyle="1" w:styleId="apple-converted-space">
    <w:name w:val="apple-converted-space"/>
    <w:basedOn w:val="DefaultParagraphFont"/>
    <w:rsid w:val="009B4AF0"/>
  </w:style>
  <w:style w:type="table" w:customStyle="1" w:styleId="TableGridCEPA3">
    <w:name w:val="Table Grid CEPA3"/>
    <w:basedOn w:val="TableNormal"/>
    <w:next w:val="TableGrid"/>
    <w:uiPriority w:val="39"/>
    <w:rsid w:val="009B4AF0"/>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9B4AF0"/>
    <w:pPr>
      <w:spacing w:after="0" w:line="240" w:lineRule="auto"/>
    </w:pPr>
    <w:tblPr>
      <w:tblStyleRowBandSize w:val="1"/>
      <w:tblStyleColBandSize w:val="1"/>
      <w:tblBorders>
        <w:top w:val="single" w:sz="4" w:space="0" w:color="CBCBCB" w:themeColor="accent1" w:themeTint="66"/>
        <w:left w:val="single" w:sz="4" w:space="0" w:color="CBCBCB" w:themeColor="accent1" w:themeTint="66"/>
        <w:bottom w:val="single" w:sz="4" w:space="0" w:color="CBCBCB" w:themeColor="accent1" w:themeTint="66"/>
        <w:right w:val="single" w:sz="4" w:space="0" w:color="CBCBCB" w:themeColor="accent1" w:themeTint="66"/>
        <w:insideH w:val="single" w:sz="4" w:space="0" w:color="CBCBCB" w:themeColor="accent1" w:themeTint="66"/>
        <w:insideV w:val="single" w:sz="4" w:space="0" w:color="CBCBCB" w:themeColor="accent1" w:themeTint="66"/>
      </w:tblBorders>
    </w:tblPr>
    <w:tblStylePr w:type="firstRow">
      <w:rPr>
        <w:b/>
        <w:bCs/>
      </w:rPr>
      <w:tblPr/>
      <w:tcPr>
        <w:tcBorders>
          <w:bottom w:val="single" w:sz="12" w:space="0" w:color="B2B2B2" w:themeColor="accent1" w:themeTint="99"/>
        </w:tcBorders>
      </w:tcPr>
    </w:tblStylePr>
    <w:tblStylePr w:type="lastRow">
      <w:rPr>
        <w:b/>
        <w:bCs/>
      </w:rPr>
      <w:tblPr/>
      <w:tcPr>
        <w:tcBorders>
          <w:top w:val="double" w:sz="2" w:space="0" w:color="B2B2B2" w:themeColor="accent1" w:themeTint="99"/>
        </w:tcBorders>
      </w:tcPr>
    </w:tblStylePr>
    <w:tblStylePr w:type="firstCol">
      <w:rPr>
        <w:b/>
        <w:bCs/>
      </w:rPr>
    </w:tblStylePr>
    <w:tblStylePr w:type="lastCol">
      <w:rPr>
        <w:b/>
        <w:bCs/>
      </w:rPr>
    </w:tblStylePr>
  </w:style>
  <w:style w:type="paragraph" w:customStyle="1" w:styleId="GreyBoxBullet">
    <w:name w:val="GreyBoxBullet"/>
    <w:basedOn w:val="CEPATabletext"/>
    <w:link w:val="GreyBoxBulletChar"/>
    <w:qFormat/>
    <w:rsid w:val="009B4AF0"/>
    <w:pPr>
      <w:numPr>
        <w:numId w:val="8"/>
      </w:numPr>
    </w:pPr>
    <w:rPr>
      <w:b/>
      <w:color w:val="FFFFFF"/>
      <w:sz w:val="24"/>
      <w:lang w:eastAsia="en-GB"/>
    </w:rPr>
  </w:style>
  <w:style w:type="character" w:customStyle="1" w:styleId="GreyBoxBulletChar">
    <w:name w:val="GreyBoxBullet Char"/>
    <w:basedOn w:val="CEPATabletextChar"/>
    <w:link w:val="GreyBoxBullet"/>
    <w:rsid w:val="009B4AF0"/>
    <w:rPr>
      <w:rFonts w:ascii="Calibri" w:hAnsi="Calibri" w:cs="Times New Roman"/>
      <w:b/>
      <w:color w:val="FFFFFF"/>
      <w:sz w:val="24"/>
      <w:szCs w:val="24"/>
      <w:lang w:eastAsia="en-GB"/>
    </w:rPr>
  </w:style>
  <w:style w:type="paragraph" w:customStyle="1" w:styleId="Heading10">
    <w:name w:val="Heading10"/>
    <w:basedOn w:val="CEPAReportText"/>
    <w:rsid w:val="009B4AF0"/>
    <w:rPr>
      <w:b/>
      <w:color w:val="275792"/>
    </w:rPr>
  </w:style>
  <w:style w:type="table" w:customStyle="1" w:styleId="TableGrid1">
    <w:name w:val="Table Grid1"/>
    <w:basedOn w:val="TableNormal"/>
    <w:next w:val="TableGrid"/>
    <w:uiPriority w:val="59"/>
    <w:rsid w:val="009B4AF0"/>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B4AF0"/>
    <w:pPr>
      <w:jc w:val="left"/>
    </w:pPr>
    <w:rPr>
      <w:rFonts w:ascii="Times New Roman" w:hAnsi="Times New Roman"/>
      <w:lang w:val="en-US"/>
    </w:rPr>
  </w:style>
  <w:style w:type="character" w:customStyle="1" w:styleId="normaltextrun">
    <w:name w:val="normaltextrun"/>
    <w:basedOn w:val="DefaultParagraphFont"/>
    <w:rsid w:val="009B4AF0"/>
  </w:style>
  <w:style w:type="character" w:customStyle="1" w:styleId="eop">
    <w:name w:val="eop"/>
    <w:basedOn w:val="DefaultParagraphFont"/>
    <w:rsid w:val="009B4AF0"/>
  </w:style>
  <w:style w:type="character" w:customStyle="1" w:styleId="UnresolvedMention1">
    <w:name w:val="Unresolved Mention1"/>
    <w:basedOn w:val="DefaultParagraphFont"/>
    <w:uiPriority w:val="99"/>
    <w:semiHidden/>
    <w:unhideWhenUsed/>
    <w:rsid w:val="00A82486"/>
    <w:rPr>
      <w:color w:val="808080"/>
      <w:shd w:val="clear" w:color="auto" w:fill="E6E6E6"/>
    </w:rPr>
  </w:style>
  <w:style w:type="character" w:customStyle="1" w:styleId="UnresolvedMention2">
    <w:name w:val="Unresolved Mention2"/>
    <w:basedOn w:val="DefaultParagraphFont"/>
    <w:uiPriority w:val="99"/>
    <w:semiHidden/>
    <w:unhideWhenUsed/>
    <w:rsid w:val="007B0ED0"/>
    <w:rPr>
      <w:color w:val="808080"/>
      <w:shd w:val="clear" w:color="auto" w:fill="E6E6E6"/>
    </w:rPr>
  </w:style>
  <w:style w:type="table" w:customStyle="1" w:styleId="TableGrid2">
    <w:name w:val="Table Grid2"/>
    <w:basedOn w:val="TableNormal"/>
    <w:next w:val="TableGrid"/>
    <w:uiPriority w:val="59"/>
    <w:rsid w:val="009E3E34"/>
    <w:pPr>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434170"/>
    <w:rPr>
      <w:color w:val="808080"/>
      <w:shd w:val="clear" w:color="auto" w:fill="E6E6E6"/>
    </w:rPr>
  </w:style>
  <w:style w:type="character" w:customStyle="1" w:styleId="UnresolvedMention4">
    <w:name w:val="Unresolved Mention4"/>
    <w:basedOn w:val="DefaultParagraphFont"/>
    <w:uiPriority w:val="99"/>
    <w:semiHidden/>
    <w:unhideWhenUsed/>
    <w:rsid w:val="00EF6C82"/>
    <w:rPr>
      <w:color w:val="808080"/>
      <w:shd w:val="clear" w:color="auto" w:fill="E6E6E6"/>
    </w:rPr>
  </w:style>
  <w:style w:type="character" w:customStyle="1" w:styleId="UnresolvedMention5">
    <w:name w:val="Unresolved Mention5"/>
    <w:basedOn w:val="DefaultParagraphFont"/>
    <w:uiPriority w:val="99"/>
    <w:semiHidden/>
    <w:unhideWhenUsed/>
    <w:rsid w:val="00D97E3B"/>
    <w:rPr>
      <w:color w:val="808080"/>
      <w:shd w:val="clear" w:color="auto" w:fill="E6E6E6"/>
    </w:rPr>
  </w:style>
  <w:style w:type="character" w:customStyle="1" w:styleId="UnresolvedMention6">
    <w:name w:val="Unresolved Mention6"/>
    <w:basedOn w:val="DefaultParagraphFont"/>
    <w:uiPriority w:val="99"/>
    <w:semiHidden/>
    <w:unhideWhenUsed/>
    <w:rsid w:val="00FA23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831">
      <w:bodyDiv w:val="1"/>
      <w:marLeft w:val="0"/>
      <w:marRight w:val="0"/>
      <w:marTop w:val="0"/>
      <w:marBottom w:val="0"/>
      <w:divBdr>
        <w:top w:val="none" w:sz="0" w:space="0" w:color="auto"/>
        <w:left w:val="none" w:sz="0" w:space="0" w:color="auto"/>
        <w:bottom w:val="none" w:sz="0" w:space="0" w:color="auto"/>
        <w:right w:val="none" w:sz="0" w:space="0" w:color="auto"/>
      </w:divBdr>
    </w:div>
    <w:div w:id="152306544">
      <w:bodyDiv w:val="1"/>
      <w:marLeft w:val="0"/>
      <w:marRight w:val="0"/>
      <w:marTop w:val="0"/>
      <w:marBottom w:val="0"/>
      <w:divBdr>
        <w:top w:val="none" w:sz="0" w:space="0" w:color="auto"/>
        <w:left w:val="none" w:sz="0" w:space="0" w:color="auto"/>
        <w:bottom w:val="none" w:sz="0" w:space="0" w:color="auto"/>
        <w:right w:val="none" w:sz="0" w:space="0" w:color="auto"/>
      </w:divBdr>
      <w:divsChild>
        <w:div w:id="292374446">
          <w:marLeft w:val="274"/>
          <w:marRight w:val="0"/>
          <w:marTop w:val="40"/>
          <w:marBottom w:val="40"/>
          <w:divBdr>
            <w:top w:val="none" w:sz="0" w:space="0" w:color="auto"/>
            <w:left w:val="none" w:sz="0" w:space="0" w:color="auto"/>
            <w:bottom w:val="none" w:sz="0" w:space="0" w:color="auto"/>
            <w:right w:val="none" w:sz="0" w:space="0" w:color="auto"/>
          </w:divBdr>
        </w:div>
      </w:divsChild>
    </w:div>
    <w:div w:id="189684271">
      <w:bodyDiv w:val="1"/>
      <w:marLeft w:val="0"/>
      <w:marRight w:val="0"/>
      <w:marTop w:val="0"/>
      <w:marBottom w:val="0"/>
      <w:divBdr>
        <w:top w:val="none" w:sz="0" w:space="0" w:color="auto"/>
        <w:left w:val="none" w:sz="0" w:space="0" w:color="auto"/>
        <w:bottom w:val="none" w:sz="0" w:space="0" w:color="auto"/>
        <w:right w:val="none" w:sz="0" w:space="0" w:color="auto"/>
      </w:divBdr>
    </w:div>
    <w:div w:id="234828957">
      <w:bodyDiv w:val="1"/>
      <w:marLeft w:val="0"/>
      <w:marRight w:val="0"/>
      <w:marTop w:val="0"/>
      <w:marBottom w:val="0"/>
      <w:divBdr>
        <w:top w:val="none" w:sz="0" w:space="0" w:color="auto"/>
        <w:left w:val="none" w:sz="0" w:space="0" w:color="auto"/>
        <w:bottom w:val="none" w:sz="0" w:space="0" w:color="auto"/>
        <w:right w:val="none" w:sz="0" w:space="0" w:color="auto"/>
      </w:divBdr>
    </w:div>
    <w:div w:id="318658850">
      <w:bodyDiv w:val="1"/>
      <w:marLeft w:val="0"/>
      <w:marRight w:val="0"/>
      <w:marTop w:val="0"/>
      <w:marBottom w:val="0"/>
      <w:divBdr>
        <w:top w:val="none" w:sz="0" w:space="0" w:color="auto"/>
        <w:left w:val="none" w:sz="0" w:space="0" w:color="auto"/>
        <w:bottom w:val="none" w:sz="0" w:space="0" w:color="auto"/>
        <w:right w:val="none" w:sz="0" w:space="0" w:color="auto"/>
      </w:divBdr>
    </w:div>
    <w:div w:id="363097582">
      <w:bodyDiv w:val="1"/>
      <w:marLeft w:val="0"/>
      <w:marRight w:val="0"/>
      <w:marTop w:val="0"/>
      <w:marBottom w:val="0"/>
      <w:divBdr>
        <w:top w:val="none" w:sz="0" w:space="0" w:color="auto"/>
        <w:left w:val="none" w:sz="0" w:space="0" w:color="auto"/>
        <w:bottom w:val="none" w:sz="0" w:space="0" w:color="auto"/>
        <w:right w:val="none" w:sz="0" w:space="0" w:color="auto"/>
      </w:divBdr>
    </w:div>
    <w:div w:id="435947932">
      <w:bodyDiv w:val="1"/>
      <w:marLeft w:val="0"/>
      <w:marRight w:val="0"/>
      <w:marTop w:val="0"/>
      <w:marBottom w:val="0"/>
      <w:divBdr>
        <w:top w:val="none" w:sz="0" w:space="0" w:color="auto"/>
        <w:left w:val="none" w:sz="0" w:space="0" w:color="auto"/>
        <w:bottom w:val="none" w:sz="0" w:space="0" w:color="auto"/>
        <w:right w:val="none" w:sz="0" w:space="0" w:color="auto"/>
      </w:divBdr>
    </w:div>
    <w:div w:id="452332300">
      <w:bodyDiv w:val="1"/>
      <w:marLeft w:val="0"/>
      <w:marRight w:val="0"/>
      <w:marTop w:val="0"/>
      <w:marBottom w:val="0"/>
      <w:divBdr>
        <w:top w:val="none" w:sz="0" w:space="0" w:color="auto"/>
        <w:left w:val="none" w:sz="0" w:space="0" w:color="auto"/>
        <w:bottom w:val="none" w:sz="0" w:space="0" w:color="auto"/>
        <w:right w:val="none" w:sz="0" w:space="0" w:color="auto"/>
      </w:divBdr>
    </w:div>
    <w:div w:id="472678293">
      <w:bodyDiv w:val="1"/>
      <w:marLeft w:val="0"/>
      <w:marRight w:val="0"/>
      <w:marTop w:val="0"/>
      <w:marBottom w:val="0"/>
      <w:divBdr>
        <w:top w:val="none" w:sz="0" w:space="0" w:color="auto"/>
        <w:left w:val="none" w:sz="0" w:space="0" w:color="auto"/>
        <w:bottom w:val="none" w:sz="0" w:space="0" w:color="auto"/>
        <w:right w:val="none" w:sz="0" w:space="0" w:color="auto"/>
      </w:divBdr>
    </w:div>
    <w:div w:id="516581215">
      <w:bodyDiv w:val="1"/>
      <w:marLeft w:val="0"/>
      <w:marRight w:val="0"/>
      <w:marTop w:val="0"/>
      <w:marBottom w:val="0"/>
      <w:divBdr>
        <w:top w:val="none" w:sz="0" w:space="0" w:color="auto"/>
        <w:left w:val="none" w:sz="0" w:space="0" w:color="auto"/>
        <w:bottom w:val="none" w:sz="0" w:space="0" w:color="auto"/>
        <w:right w:val="none" w:sz="0" w:space="0" w:color="auto"/>
      </w:divBdr>
      <w:divsChild>
        <w:div w:id="1748532360">
          <w:marLeft w:val="274"/>
          <w:marRight w:val="0"/>
          <w:marTop w:val="40"/>
          <w:marBottom w:val="40"/>
          <w:divBdr>
            <w:top w:val="none" w:sz="0" w:space="0" w:color="auto"/>
            <w:left w:val="none" w:sz="0" w:space="0" w:color="auto"/>
            <w:bottom w:val="none" w:sz="0" w:space="0" w:color="auto"/>
            <w:right w:val="none" w:sz="0" w:space="0" w:color="auto"/>
          </w:divBdr>
        </w:div>
      </w:divsChild>
    </w:div>
    <w:div w:id="523901705">
      <w:bodyDiv w:val="1"/>
      <w:marLeft w:val="0"/>
      <w:marRight w:val="0"/>
      <w:marTop w:val="0"/>
      <w:marBottom w:val="0"/>
      <w:divBdr>
        <w:top w:val="none" w:sz="0" w:space="0" w:color="auto"/>
        <w:left w:val="none" w:sz="0" w:space="0" w:color="auto"/>
        <w:bottom w:val="none" w:sz="0" w:space="0" w:color="auto"/>
        <w:right w:val="none" w:sz="0" w:space="0" w:color="auto"/>
      </w:divBdr>
    </w:div>
    <w:div w:id="578371241">
      <w:bodyDiv w:val="1"/>
      <w:marLeft w:val="0"/>
      <w:marRight w:val="0"/>
      <w:marTop w:val="0"/>
      <w:marBottom w:val="0"/>
      <w:divBdr>
        <w:top w:val="none" w:sz="0" w:space="0" w:color="auto"/>
        <w:left w:val="none" w:sz="0" w:space="0" w:color="auto"/>
        <w:bottom w:val="none" w:sz="0" w:space="0" w:color="auto"/>
        <w:right w:val="none" w:sz="0" w:space="0" w:color="auto"/>
      </w:divBdr>
    </w:div>
    <w:div w:id="588655794">
      <w:bodyDiv w:val="1"/>
      <w:marLeft w:val="0"/>
      <w:marRight w:val="0"/>
      <w:marTop w:val="0"/>
      <w:marBottom w:val="0"/>
      <w:divBdr>
        <w:top w:val="none" w:sz="0" w:space="0" w:color="auto"/>
        <w:left w:val="none" w:sz="0" w:space="0" w:color="auto"/>
        <w:bottom w:val="none" w:sz="0" w:space="0" w:color="auto"/>
        <w:right w:val="none" w:sz="0" w:space="0" w:color="auto"/>
      </w:divBdr>
      <w:divsChild>
        <w:div w:id="165757060">
          <w:marLeft w:val="360"/>
          <w:marRight w:val="0"/>
          <w:marTop w:val="60"/>
          <w:marBottom w:val="60"/>
          <w:divBdr>
            <w:top w:val="none" w:sz="0" w:space="0" w:color="auto"/>
            <w:left w:val="none" w:sz="0" w:space="0" w:color="auto"/>
            <w:bottom w:val="none" w:sz="0" w:space="0" w:color="auto"/>
            <w:right w:val="none" w:sz="0" w:space="0" w:color="auto"/>
          </w:divBdr>
        </w:div>
      </w:divsChild>
    </w:div>
    <w:div w:id="618727015">
      <w:bodyDiv w:val="1"/>
      <w:marLeft w:val="0"/>
      <w:marRight w:val="0"/>
      <w:marTop w:val="0"/>
      <w:marBottom w:val="0"/>
      <w:divBdr>
        <w:top w:val="none" w:sz="0" w:space="0" w:color="auto"/>
        <w:left w:val="none" w:sz="0" w:space="0" w:color="auto"/>
        <w:bottom w:val="none" w:sz="0" w:space="0" w:color="auto"/>
        <w:right w:val="none" w:sz="0" w:space="0" w:color="auto"/>
      </w:divBdr>
      <w:divsChild>
        <w:div w:id="1096750446">
          <w:marLeft w:val="360"/>
          <w:marRight w:val="0"/>
          <w:marTop w:val="60"/>
          <w:marBottom w:val="60"/>
          <w:divBdr>
            <w:top w:val="none" w:sz="0" w:space="0" w:color="auto"/>
            <w:left w:val="none" w:sz="0" w:space="0" w:color="auto"/>
            <w:bottom w:val="none" w:sz="0" w:space="0" w:color="auto"/>
            <w:right w:val="none" w:sz="0" w:space="0" w:color="auto"/>
          </w:divBdr>
        </w:div>
      </w:divsChild>
    </w:div>
    <w:div w:id="644773679">
      <w:bodyDiv w:val="1"/>
      <w:marLeft w:val="0"/>
      <w:marRight w:val="0"/>
      <w:marTop w:val="0"/>
      <w:marBottom w:val="0"/>
      <w:divBdr>
        <w:top w:val="none" w:sz="0" w:space="0" w:color="auto"/>
        <w:left w:val="none" w:sz="0" w:space="0" w:color="auto"/>
        <w:bottom w:val="none" w:sz="0" w:space="0" w:color="auto"/>
        <w:right w:val="none" w:sz="0" w:space="0" w:color="auto"/>
      </w:divBdr>
    </w:div>
    <w:div w:id="810177430">
      <w:bodyDiv w:val="1"/>
      <w:marLeft w:val="0"/>
      <w:marRight w:val="0"/>
      <w:marTop w:val="0"/>
      <w:marBottom w:val="0"/>
      <w:divBdr>
        <w:top w:val="none" w:sz="0" w:space="0" w:color="auto"/>
        <w:left w:val="none" w:sz="0" w:space="0" w:color="auto"/>
        <w:bottom w:val="none" w:sz="0" w:space="0" w:color="auto"/>
        <w:right w:val="none" w:sz="0" w:space="0" w:color="auto"/>
      </w:divBdr>
    </w:div>
    <w:div w:id="817772487">
      <w:bodyDiv w:val="1"/>
      <w:marLeft w:val="0"/>
      <w:marRight w:val="0"/>
      <w:marTop w:val="0"/>
      <w:marBottom w:val="0"/>
      <w:divBdr>
        <w:top w:val="none" w:sz="0" w:space="0" w:color="auto"/>
        <w:left w:val="none" w:sz="0" w:space="0" w:color="auto"/>
        <w:bottom w:val="none" w:sz="0" w:space="0" w:color="auto"/>
        <w:right w:val="none" w:sz="0" w:space="0" w:color="auto"/>
      </w:divBdr>
    </w:div>
    <w:div w:id="850337195">
      <w:bodyDiv w:val="1"/>
      <w:marLeft w:val="0"/>
      <w:marRight w:val="0"/>
      <w:marTop w:val="0"/>
      <w:marBottom w:val="0"/>
      <w:divBdr>
        <w:top w:val="none" w:sz="0" w:space="0" w:color="auto"/>
        <w:left w:val="none" w:sz="0" w:space="0" w:color="auto"/>
        <w:bottom w:val="none" w:sz="0" w:space="0" w:color="auto"/>
        <w:right w:val="none" w:sz="0" w:space="0" w:color="auto"/>
      </w:divBdr>
    </w:div>
    <w:div w:id="896627201">
      <w:bodyDiv w:val="1"/>
      <w:marLeft w:val="0"/>
      <w:marRight w:val="0"/>
      <w:marTop w:val="0"/>
      <w:marBottom w:val="0"/>
      <w:divBdr>
        <w:top w:val="none" w:sz="0" w:space="0" w:color="auto"/>
        <w:left w:val="none" w:sz="0" w:space="0" w:color="auto"/>
        <w:bottom w:val="none" w:sz="0" w:space="0" w:color="auto"/>
        <w:right w:val="none" w:sz="0" w:space="0" w:color="auto"/>
      </w:divBdr>
    </w:div>
    <w:div w:id="923807800">
      <w:bodyDiv w:val="1"/>
      <w:marLeft w:val="0"/>
      <w:marRight w:val="0"/>
      <w:marTop w:val="0"/>
      <w:marBottom w:val="0"/>
      <w:divBdr>
        <w:top w:val="none" w:sz="0" w:space="0" w:color="auto"/>
        <w:left w:val="none" w:sz="0" w:space="0" w:color="auto"/>
        <w:bottom w:val="none" w:sz="0" w:space="0" w:color="auto"/>
        <w:right w:val="none" w:sz="0" w:space="0" w:color="auto"/>
      </w:divBdr>
      <w:divsChild>
        <w:div w:id="1576086899">
          <w:marLeft w:val="360"/>
          <w:marRight w:val="0"/>
          <w:marTop w:val="60"/>
          <w:marBottom w:val="60"/>
          <w:divBdr>
            <w:top w:val="none" w:sz="0" w:space="0" w:color="auto"/>
            <w:left w:val="none" w:sz="0" w:space="0" w:color="auto"/>
            <w:bottom w:val="none" w:sz="0" w:space="0" w:color="auto"/>
            <w:right w:val="none" w:sz="0" w:space="0" w:color="auto"/>
          </w:divBdr>
        </w:div>
      </w:divsChild>
    </w:div>
    <w:div w:id="952634674">
      <w:bodyDiv w:val="1"/>
      <w:marLeft w:val="0"/>
      <w:marRight w:val="0"/>
      <w:marTop w:val="0"/>
      <w:marBottom w:val="0"/>
      <w:divBdr>
        <w:top w:val="none" w:sz="0" w:space="0" w:color="auto"/>
        <w:left w:val="none" w:sz="0" w:space="0" w:color="auto"/>
        <w:bottom w:val="none" w:sz="0" w:space="0" w:color="auto"/>
        <w:right w:val="none" w:sz="0" w:space="0" w:color="auto"/>
      </w:divBdr>
    </w:div>
    <w:div w:id="1370640055">
      <w:bodyDiv w:val="1"/>
      <w:marLeft w:val="0"/>
      <w:marRight w:val="0"/>
      <w:marTop w:val="0"/>
      <w:marBottom w:val="0"/>
      <w:divBdr>
        <w:top w:val="none" w:sz="0" w:space="0" w:color="auto"/>
        <w:left w:val="none" w:sz="0" w:space="0" w:color="auto"/>
        <w:bottom w:val="none" w:sz="0" w:space="0" w:color="auto"/>
        <w:right w:val="none" w:sz="0" w:space="0" w:color="auto"/>
      </w:divBdr>
    </w:div>
    <w:div w:id="1441604258">
      <w:bodyDiv w:val="1"/>
      <w:marLeft w:val="0"/>
      <w:marRight w:val="0"/>
      <w:marTop w:val="0"/>
      <w:marBottom w:val="0"/>
      <w:divBdr>
        <w:top w:val="none" w:sz="0" w:space="0" w:color="auto"/>
        <w:left w:val="none" w:sz="0" w:space="0" w:color="auto"/>
        <w:bottom w:val="none" w:sz="0" w:space="0" w:color="auto"/>
        <w:right w:val="none" w:sz="0" w:space="0" w:color="auto"/>
      </w:divBdr>
    </w:div>
    <w:div w:id="1596134432">
      <w:bodyDiv w:val="1"/>
      <w:marLeft w:val="0"/>
      <w:marRight w:val="0"/>
      <w:marTop w:val="0"/>
      <w:marBottom w:val="0"/>
      <w:divBdr>
        <w:top w:val="none" w:sz="0" w:space="0" w:color="auto"/>
        <w:left w:val="none" w:sz="0" w:space="0" w:color="auto"/>
        <w:bottom w:val="none" w:sz="0" w:space="0" w:color="auto"/>
        <w:right w:val="none" w:sz="0" w:space="0" w:color="auto"/>
      </w:divBdr>
      <w:divsChild>
        <w:div w:id="345139663">
          <w:marLeft w:val="274"/>
          <w:marRight w:val="0"/>
          <w:marTop w:val="40"/>
          <w:marBottom w:val="40"/>
          <w:divBdr>
            <w:top w:val="none" w:sz="0" w:space="0" w:color="auto"/>
            <w:left w:val="none" w:sz="0" w:space="0" w:color="auto"/>
            <w:bottom w:val="none" w:sz="0" w:space="0" w:color="auto"/>
            <w:right w:val="none" w:sz="0" w:space="0" w:color="auto"/>
          </w:divBdr>
        </w:div>
      </w:divsChild>
    </w:div>
    <w:div w:id="1637563346">
      <w:bodyDiv w:val="1"/>
      <w:marLeft w:val="0"/>
      <w:marRight w:val="0"/>
      <w:marTop w:val="0"/>
      <w:marBottom w:val="0"/>
      <w:divBdr>
        <w:top w:val="none" w:sz="0" w:space="0" w:color="auto"/>
        <w:left w:val="none" w:sz="0" w:space="0" w:color="auto"/>
        <w:bottom w:val="none" w:sz="0" w:space="0" w:color="auto"/>
        <w:right w:val="none" w:sz="0" w:space="0" w:color="auto"/>
      </w:divBdr>
    </w:div>
    <w:div w:id="1672752676">
      <w:bodyDiv w:val="1"/>
      <w:marLeft w:val="0"/>
      <w:marRight w:val="0"/>
      <w:marTop w:val="0"/>
      <w:marBottom w:val="0"/>
      <w:divBdr>
        <w:top w:val="none" w:sz="0" w:space="0" w:color="auto"/>
        <w:left w:val="none" w:sz="0" w:space="0" w:color="auto"/>
        <w:bottom w:val="none" w:sz="0" w:space="0" w:color="auto"/>
        <w:right w:val="none" w:sz="0" w:space="0" w:color="auto"/>
      </w:divBdr>
      <w:divsChild>
        <w:div w:id="1258245491">
          <w:marLeft w:val="274"/>
          <w:marRight w:val="0"/>
          <w:marTop w:val="40"/>
          <w:marBottom w:val="40"/>
          <w:divBdr>
            <w:top w:val="none" w:sz="0" w:space="0" w:color="auto"/>
            <w:left w:val="none" w:sz="0" w:space="0" w:color="auto"/>
            <w:bottom w:val="none" w:sz="0" w:space="0" w:color="auto"/>
            <w:right w:val="none" w:sz="0" w:space="0" w:color="auto"/>
          </w:divBdr>
        </w:div>
      </w:divsChild>
    </w:div>
    <w:div w:id="1762019012">
      <w:bodyDiv w:val="1"/>
      <w:marLeft w:val="0"/>
      <w:marRight w:val="0"/>
      <w:marTop w:val="0"/>
      <w:marBottom w:val="0"/>
      <w:divBdr>
        <w:top w:val="none" w:sz="0" w:space="0" w:color="auto"/>
        <w:left w:val="none" w:sz="0" w:space="0" w:color="auto"/>
        <w:bottom w:val="none" w:sz="0" w:space="0" w:color="auto"/>
        <w:right w:val="none" w:sz="0" w:space="0" w:color="auto"/>
      </w:divBdr>
    </w:div>
    <w:div w:id="1788157623">
      <w:bodyDiv w:val="1"/>
      <w:marLeft w:val="0"/>
      <w:marRight w:val="0"/>
      <w:marTop w:val="0"/>
      <w:marBottom w:val="0"/>
      <w:divBdr>
        <w:top w:val="none" w:sz="0" w:space="0" w:color="auto"/>
        <w:left w:val="none" w:sz="0" w:space="0" w:color="auto"/>
        <w:bottom w:val="none" w:sz="0" w:space="0" w:color="auto"/>
        <w:right w:val="none" w:sz="0" w:space="0" w:color="auto"/>
      </w:divBdr>
    </w:div>
    <w:div w:id="1854562685">
      <w:bodyDiv w:val="1"/>
      <w:marLeft w:val="0"/>
      <w:marRight w:val="0"/>
      <w:marTop w:val="0"/>
      <w:marBottom w:val="0"/>
      <w:divBdr>
        <w:top w:val="none" w:sz="0" w:space="0" w:color="auto"/>
        <w:left w:val="none" w:sz="0" w:space="0" w:color="auto"/>
        <w:bottom w:val="none" w:sz="0" w:space="0" w:color="auto"/>
        <w:right w:val="none" w:sz="0" w:space="0" w:color="auto"/>
      </w:divBdr>
    </w:div>
    <w:div w:id="2049528795">
      <w:bodyDiv w:val="1"/>
      <w:marLeft w:val="0"/>
      <w:marRight w:val="0"/>
      <w:marTop w:val="0"/>
      <w:marBottom w:val="0"/>
      <w:divBdr>
        <w:top w:val="none" w:sz="0" w:space="0" w:color="auto"/>
        <w:left w:val="none" w:sz="0" w:space="0" w:color="auto"/>
        <w:bottom w:val="none" w:sz="0" w:space="0" w:color="auto"/>
        <w:right w:val="none" w:sz="0" w:space="0" w:color="auto"/>
      </w:divBdr>
    </w:div>
    <w:div w:id="20837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emf"/><Relationship Id="rId26" Type="http://schemas.openxmlformats.org/officeDocument/2006/relationships/hyperlink" Target="https://unitaid.eu/project/drw-samba-machines-early-infant-diagnosis/"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epa.co.uk" TargetMode="External"/><Relationship Id="rId17" Type="http://schemas.openxmlformats.org/officeDocument/2006/relationships/footer" Target="footer3.xml"/><Relationship Id="rId25" Type="http://schemas.openxmlformats.org/officeDocument/2006/relationships/hyperlink" Target="https://unitaid.eu/project/accelerating-access-integration-innovative-point-care-poc-diagnostics-hiv-national-diagnostic-programmes/" TargetMode="External"/><Relationship Id="rId33" Type="http://schemas.openxmlformats.org/officeDocument/2006/relationships/chart" Target="charts/chart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doi.org/10.1093/cid/ciw0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pp-era.org/en/en/opp-era-project" TargetMode="External"/><Relationship Id="rId32" Type="http://schemas.openxmlformats.org/officeDocument/2006/relationships/chart" Target="charts/chart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itpcglobal.org/new-activist-toolkit-on-routine-viral-load-monitoring/" TargetMode="External"/><Relationship Id="rId28" Type="http://schemas.openxmlformats.org/officeDocument/2006/relationships/hyperlink" Target="https://unitaid.eu/project/improving-access-viral-load-testing-people-living-hiv-opp-era-phase-2/"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www.who.int/hiv/pub/guidelines/arv201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s://unitaid.eu/project/integrating-point-of-care-early-infant-diagnostics-hiv/" TargetMode="External"/><Relationship Id="rId30" Type="http://schemas.openxmlformats.org/officeDocument/2006/relationships/hyperlink" Target="https://www.theglobalfund.org/media/5765/psm_viralloadearlyinfantdiagnosis_content_en.pdf" TargetMode="Externa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www.unaids.org/sites/default/files/media_asset/20170720_Data_book_2017_en.pdf" TargetMode="External"/><Relationship Id="rId1" Type="http://schemas.openxmlformats.org/officeDocument/2006/relationships/hyperlink" Target="https://doi.org/10.1093/cid/ciw00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i="0">
                <a:effectLst/>
              </a:rPr>
              <a:t>Commodity Costs</a:t>
            </a:r>
            <a:r>
              <a:rPr lang="en-GB" sz="1200" i="0" baseline="0">
                <a:effectLst/>
              </a:rPr>
              <a:t> by Country, </a:t>
            </a:r>
            <a:r>
              <a:rPr lang="en-GB" sz="1200" i="0">
                <a:effectLst/>
              </a:rPr>
              <a:t>2013-2017 (USD 1,000,000s)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Sheet1!$A$2:$A$11</c:f>
              <c:strCache>
                <c:ptCount val="10"/>
                <c:pt idx="0">
                  <c:v>Lesotho 
OCB</c:v>
                </c:pt>
                <c:pt idx="1">
                  <c:v>Malawi 
OCB</c:v>
                </c:pt>
                <c:pt idx="2">
                  <c:v>Malawi 
OCP</c:v>
                </c:pt>
                <c:pt idx="3">
                  <c:v>Kenya 
OCP</c:v>
                </c:pt>
                <c:pt idx="4">
                  <c:v>Mozambique 
OCB</c:v>
                </c:pt>
                <c:pt idx="5">
                  <c:v>DRC 
OCB</c:v>
                </c:pt>
                <c:pt idx="6">
                  <c:v>South Africa 
OCB</c:v>
                </c:pt>
                <c:pt idx="7">
                  <c:v>Swaziland
OCG</c:v>
                </c:pt>
                <c:pt idx="8">
                  <c:v>Uganda 
OCP</c:v>
                </c:pt>
                <c:pt idx="9">
                  <c:v>Zimbabwe 
OCB</c:v>
                </c:pt>
              </c:strCache>
            </c:strRef>
          </c:cat>
          <c:val>
            <c:numRef>
              <c:f>Sheet1!$B$2:$B$11</c:f>
              <c:numCache>
                <c:formatCode>General</c:formatCode>
                <c:ptCount val="10"/>
                <c:pt idx="0">
                  <c:v>0.09</c:v>
                </c:pt>
                <c:pt idx="1">
                  <c:v>1.1599999999999999</c:v>
                </c:pt>
                <c:pt idx="2">
                  <c:v>2.68</c:v>
                </c:pt>
                <c:pt idx="3">
                  <c:v>0.18</c:v>
                </c:pt>
                <c:pt idx="4">
                  <c:v>2.6</c:v>
                </c:pt>
                <c:pt idx="5">
                  <c:v>0.52</c:v>
                </c:pt>
                <c:pt idx="6">
                  <c:v>0.05</c:v>
                </c:pt>
                <c:pt idx="7">
                  <c:v>3.06</c:v>
                </c:pt>
                <c:pt idx="8">
                  <c:v>1.43</c:v>
                </c:pt>
                <c:pt idx="9">
                  <c:v>5.13</c:v>
                </c:pt>
              </c:numCache>
            </c:numRef>
          </c:val>
          <c:extLst>
            <c:ext xmlns:c16="http://schemas.microsoft.com/office/drawing/2014/chart" uri="{C3380CC4-5D6E-409C-BE32-E72D297353CC}">
              <c16:uniqueId val="{00000000-9B37-45E1-803E-7892FEB22C16}"/>
            </c:ext>
          </c:extLst>
        </c:ser>
        <c:dLbls>
          <c:showLegendKey val="0"/>
          <c:showVal val="0"/>
          <c:showCatName val="0"/>
          <c:showSerName val="0"/>
          <c:showPercent val="0"/>
          <c:showBubbleSize val="0"/>
        </c:dLbls>
        <c:gapWidth val="219"/>
        <c:overlap val="-27"/>
        <c:axId val="301830776"/>
        <c:axId val="301833520"/>
      </c:barChart>
      <c:catAx>
        <c:axId val="301830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Country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01833520"/>
        <c:crosses val="autoZero"/>
        <c:auto val="1"/>
        <c:lblAlgn val="ctr"/>
        <c:lblOffset val="100"/>
        <c:noMultiLvlLbl val="0"/>
      </c:catAx>
      <c:valAx>
        <c:axId val="301833520"/>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307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u="none" strike="noStrike" baseline="0">
                <a:effectLst/>
              </a:rPr>
              <a:t>Commodity Costs by Manufacturer, 2013-2016 (USD 1,000,000s)</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'[Charts for MSF First Draft.xlsx]Sheet1'!$A$37:$A$42</c:f>
              <c:strCache>
                <c:ptCount val="6"/>
                <c:pt idx="0">
                  <c:v>Abbott</c:v>
                </c:pt>
                <c:pt idx="1">
                  <c:v>Alere</c:v>
                </c:pt>
                <c:pt idx="2">
                  <c:v>Biocentric</c:v>
                </c:pt>
                <c:pt idx="3">
                  <c:v>Biomerieux</c:v>
                </c:pt>
                <c:pt idx="4">
                  <c:v>Cepheid</c:v>
                </c:pt>
                <c:pt idx="5">
                  <c:v>DRW</c:v>
                </c:pt>
              </c:strCache>
            </c:strRef>
          </c:cat>
          <c:val>
            <c:numRef>
              <c:f>'[Charts for MSF First Draft.xlsx]Sheet1'!$B$37:$B$42</c:f>
              <c:numCache>
                <c:formatCode>General</c:formatCode>
                <c:ptCount val="6"/>
                <c:pt idx="0">
                  <c:v>0.3</c:v>
                </c:pt>
                <c:pt idx="1">
                  <c:v>0.74</c:v>
                </c:pt>
                <c:pt idx="2">
                  <c:v>1.87</c:v>
                </c:pt>
                <c:pt idx="3">
                  <c:v>5.38</c:v>
                </c:pt>
                <c:pt idx="4">
                  <c:v>0.2</c:v>
                </c:pt>
                <c:pt idx="5">
                  <c:v>3.32</c:v>
                </c:pt>
              </c:numCache>
            </c:numRef>
          </c:val>
          <c:extLst>
            <c:ext xmlns:c16="http://schemas.microsoft.com/office/drawing/2014/chart" uri="{C3380CC4-5D6E-409C-BE32-E72D297353CC}">
              <c16:uniqueId val="{00000000-C874-404C-82E0-1DAC2CAC5558}"/>
            </c:ext>
          </c:extLst>
        </c:ser>
        <c:dLbls>
          <c:showLegendKey val="0"/>
          <c:showVal val="0"/>
          <c:showCatName val="0"/>
          <c:showSerName val="0"/>
          <c:showPercent val="0"/>
          <c:showBubbleSize val="0"/>
        </c:dLbls>
        <c:gapWidth val="219"/>
        <c:overlap val="-27"/>
        <c:axId val="301831560"/>
        <c:axId val="301832736"/>
      </c:barChart>
      <c:catAx>
        <c:axId val="301831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Manufacturer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32736"/>
        <c:crosses val="autoZero"/>
        <c:auto val="1"/>
        <c:lblAlgn val="ctr"/>
        <c:lblOffset val="100"/>
        <c:noMultiLvlLbl val="0"/>
      </c:catAx>
      <c:valAx>
        <c:axId val="301832736"/>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315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EPA PPT">
  <a:themeElements>
    <a:clrScheme name="CEPA 2">
      <a:dk1>
        <a:srgbClr val="275792"/>
      </a:dk1>
      <a:lt1>
        <a:srgbClr val="FFFFFF"/>
      </a:lt1>
      <a:dk2>
        <a:srgbClr val="72B2E2"/>
      </a:dk2>
      <a:lt2>
        <a:srgbClr val="FFFFFF"/>
      </a:lt2>
      <a:accent1>
        <a:srgbClr val="7F7F7F"/>
      </a:accent1>
      <a:accent2>
        <a:srgbClr val="4186CD"/>
      </a:accent2>
      <a:accent3>
        <a:srgbClr val="92D050"/>
      </a:accent3>
      <a:accent4>
        <a:srgbClr val="F0F0F0"/>
      </a:accent4>
      <a:accent5>
        <a:srgbClr val="C6C6C6"/>
      </a:accent5>
      <a:accent6>
        <a:srgbClr val="C00000"/>
      </a:accent6>
      <a:hlink>
        <a:srgbClr val="4186CD"/>
      </a:hlink>
      <a:folHlink>
        <a:srgbClr val="C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w="12700" cap="flat" cmpd="sng" algn="ctr">
          <a:no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R="0" algn="ctr" defTabSz="923925" rtl="0" eaLnBrk="0" fontAlgn="base" latinLnBrk="0" hangingPunct="0">
          <a:lnSpc>
            <a:spcPct val="140000"/>
          </a:lnSpc>
          <a:spcBef>
            <a:spcPct val="0"/>
          </a:spcBef>
          <a:spcAft>
            <a:spcPct val="0"/>
          </a:spcAft>
          <a:buClrTx/>
          <a:buSzTx/>
          <a:buFontTx/>
          <a:buNone/>
          <a:tabLst>
            <a:tab pos="0" algn="l"/>
          </a:tabLst>
          <a:defRPr kumimoji="0" sz="1200" b="0" i="0" u="none" strike="noStrike" cap="none" normalizeH="0" baseline="0" dirty="0" smtClean="0">
            <a:ln>
              <a:noFill/>
            </a:ln>
            <a:solidFill>
              <a:schemeClr val="bg1"/>
            </a:solidFill>
            <a:effectLst/>
            <a:latin typeface="Calibri" panose="020F0502020204030204" pitchFamily="34" charset="0"/>
          </a:defRPr>
        </a:defPPr>
      </a:lstStyle>
    </a:spDef>
    <a:lnDef>
      <a:spPr bwMode="auto">
        <a:xfrm>
          <a:off x="0" y="0"/>
          <a:ext cx="1" cy="1"/>
        </a:xfrm>
        <a:custGeom>
          <a:avLst/>
          <a:gdLst/>
          <a:ahLst/>
          <a:cxnLst/>
          <a:rect l="0" t="0" r="0" b="0"/>
          <a:pathLst/>
        </a:custGeom>
        <a:solidFill>
          <a:schemeClr val="accent1"/>
        </a:solidFill>
        <a:ln w="12700" cap="flat" cmpd="sng" algn="ctr">
          <a:solidFill>
            <a:srgbClr val="003366"/>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290513" marR="0" indent="-290513" algn="ctr" defTabSz="923925" rtl="0" eaLnBrk="0" fontAlgn="base" latinLnBrk="0" hangingPunct="0">
          <a:lnSpc>
            <a:spcPct val="140000"/>
          </a:lnSpc>
          <a:spcBef>
            <a:spcPct val="0"/>
          </a:spcBef>
          <a:spcAft>
            <a:spcPct val="0"/>
          </a:spcAft>
          <a:buClrTx/>
          <a:buSzTx/>
          <a:buFontTx/>
          <a:buNone/>
          <a:tabLst>
            <a:tab pos="0" algn="l"/>
          </a:tabLst>
          <a:defRPr kumimoji="0" lang="en-GB" sz="1200" b="0" i="0" u="none" strike="noStrike" cap="none" normalizeH="0" baseline="0" smtClean="0">
            <a:ln>
              <a:noFill/>
            </a:ln>
            <a:solidFill>
              <a:srgbClr val="1F4D9F"/>
            </a:solidFill>
            <a:effectLst/>
            <a:latin typeface="Verdana" pitchFamily="34" charset="0"/>
          </a:defRPr>
        </a:defPPr>
      </a:lstStyle>
    </a:lnDef>
    <a:txDef>
      <a:spPr bwMode="auto">
        <a:noFill/>
        <a:ln w="9525">
          <a:noFill/>
          <a:miter lim="800000"/>
          <a:headEnd/>
          <a:tailEnd/>
        </a:ln>
        <a:effectLst/>
      </a:spPr>
      <a:bodyPr vert="horz" wrap="square" lIns="91440" tIns="45720" rIns="91440" bIns="45720" numCol="1" anchor="t" anchorCtr="0" compatLnSpc="1">
        <a:prstTxWarp prst="textNoShape">
          <a:avLst/>
        </a:prstTxWarp>
      </a:bodyPr>
      <a:lstStyle>
        <a:defPPr>
          <a:defRPr kern="0" dirty="0" smtClean="0"/>
        </a:defPPr>
      </a:lstStyle>
    </a:txDef>
  </a:objectDefaults>
  <a:extraClrSchemeLst>
    <a:extraClrScheme>
      <a:clrScheme name="PowerPoint Templat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PowerPoint Template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PowerPoint Template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PowerPoint Template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 Template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PowerPoint Template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PowerPoint Template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CEPA PPT" id="{5E6903D9-8E66-456D-972B-3D01D47C2E3A}" vid="{AF15BEB5-E9AA-4F3D-B794-48285D299FA7}"/>
    </a:ext>
  </a:extLst>
</a:theme>
</file>

<file path=word/theme/themeOverride1.xml><?xml version="1.0" encoding="utf-8"?>
<a:themeOverride xmlns:a="http://schemas.openxmlformats.org/drawingml/2006/main">
  <a:clrScheme name="CEPA colours">
    <a:dk1>
      <a:sysClr val="windowText" lastClr="000000"/>
    </a:dk1>
    <a:lt1>
      <a:sysClr val="window" lastClr="FFFFFF"/>
    </a:lt1>
    <a:dk2>
      <a:srgbClr val="1F497D"/>
    </a:dk2>
    <a:lt2>
      <a:srgbClr val="EEECE1"/>
    </a:lt2>
    <a:accent1>
      <a:srgbClr val="4B86CD"/>
    </a:accent1>
    <a:accent2>
      <a:srgbClr val="92D050"/>
    </a:accent2>
    <a:accent3>
      <a:srgbClr val="92D2EE"/>
    </a:accent3>
    <a:accent4>
      <a:srgbClr val="7F7F7F"/>
    </a:accent4>
    <a:accent5>
      <a:srgbClr val="275792"/>
    </a:accent5>
    <a:accent6>
      <a:srgbClr val="C6C6C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EPA colours">
    <a:dk1>
      <a:sysClr val="windowText" lastClr="000000"/>
    </a:dk1>
    <a:lt1>
      <a:sysClr val="window" lastClr="FFFFFF"/>
    </a:lt1>
    <a:dk2>
      <a:srgbClr val="1F497D"/>
    </a:dk2>
    <a:lt2>
      <a:srgbClr val="EEECE1"/>
    </a:lt2>
    <a:accent1>
      <a:srgbClr val="4B86CD"/>
    </a:accent1>
    <a:accent2>
      <a:srgbClr val="92D050"/>
    </a:accent2>
    <a:accent3>
      <a:srgbClr val="92D2EE"/>
    </a:accent3>
    <a:accent4>
      <a:srgbClr val="7F7F7F"/>
    </a:accent4>
    <a:accent5>
      <a:srgbClr val="275792"/>
    </a:accent5>
    <a:accent6>
      <a:srgbClr val="C6C6C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1420237E5D944B6D734A4CB71E6B4" ma:contentTypeVersion="4" ma:contentTypeDescription="Create a new document." ma:contentTypeScope="" ma:versionID="6d27545abb21bf2d1ed59318ba5a8e68">
  <xsd:schema xmlns:xsd="http://www.w3.org/2001/XMLSchema" xmlns:xs="http://www.w3.org/2001/XMLSchema" xmlns:p="http://schemas.microsoft.com/office/2006/metadata/properties" xmlns:ns2="83ae88c3-9bb7-4f3a-8b55-f9e9d3a000d9" targetNamespace="http://schemas.microsoft.com/office/2006/metadata/properties" ma:root="true" ma:fieldsID="8ca256ddb388afa7521b480f8dd111af" ns2:_="">
    <xsd:import namespace="83ae88c3-9bb7-4f3a-8b55-f9e9d3a000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e88c3-9bb7-4f3a-8b55-f9e9d3a00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E6028-49CC-4076-8CC3-3F431DB28B44}">
  <ds:schemaRefs>
    <ds:schemaRef ds:uri="http://schemas.microsoft.com/sharepoint/v3/contenttype/forms"/>
  </ds:schemaRefs>
</ds:datastoreItem>
</file>

<file path=customXml/itemProps2.xml><?xml version="1.0" encoding="utf-8"?>
<ds:datastoreItem xmlns:ds="http://schemas.openxmlformats.org/officeDocument/2006/customXml" ds:itemID="{263379F3-77A6-4300-8B7F-3742795879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3ae88c3-9bb7-4f3a-8b55-f9e9d3a000d9"/>
    <ds:schemaRef ds:uri="http://www.w3.org/XML/1998/namespace"/>
    <ds:schemaRef ds:uri="http://purl.org/dc/dcmitype/"/>
  </ds:schemaRefs>
</ds:datastoreItem>
</file>

<file path=customXml/itemProps3.xml><?xml version="1.0" encoding="utf-8"?>
<ds:datastoreItem xmlns:ds="http://schemas.openxmlformats.org/officeDocument/2006/customXml" ds:itemID="{428310B9-C522-44DE-848A-27E6D0F4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e88c3-9bb7-4f3a-8b55-f9e9d3a00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367E3-E806-4133-B457-B0F9722B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35210</Words>
  <Characters>200702</Characters>
  <Application>Microsoft Office Word</Application>
  <DocSecurity>4</DocSecurity>
  <Lines>1672</Lines>
  <Paragraphs>470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Health Organization</Company>
  <LinksUpToDate>false</LinksUpToDate>
  <CharactersWithSpaces>235442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Bagnall</dc:creator>
  <cp:keywords/>
  <cp:lastModifiedBy>KHANNA, Gauri</cp:lastModifiedBy>
  <cp:revision>2</cp:revision>
  <cp:lastPrinted>2018-05-29T11:28:00Z</cp:lastPrinted>
  <dcterms:created xsi:type="dcterms:W3CDTF">2018-05-29T12:04:00Z</dcterms:created>
  <dcterms:modified xsi:type="dcterms:W3CDTF">2018-05-29T12:04:00Z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0x01010001C1420237E5D944B6D734A4CB71E6B4</vt:lpwstr>
  </property>
</Properties>
</file>